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FF6AF4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D019A2">
        <w:t>1</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3547B">
        <w:rPr>
          <w:sz w:val="32"/>
          <w:szCs w:val="32"/>
        </w:rPr>
        <w:t>22</w:t>
      </w:r>
      <w:r w:rsidR="00D019A2" w:rsidRPr="00D019A2">
        <w:rPr>
          <w:sz w:val="32"/>
          <w:szCs w:val="32"/>
        </w:rPr>
        <w:t>11053</w:t>
      </w:r>
    </w:p>
    <w:p w14:paraId="0CE7B7E6" w14:textId="2C7412E6" w:rsidR="00E90E49" w:rsidRPr="00CE0424" w:rsidRDefault="002B741D" w:rsidP="00311702">
      <w:pPr>
        <w:pStyle w:val="3GPPHeader"/>
      </w:pPr>
      <w:r w:rsidRPr="002B741D">
        <w:t>Toulouse, France, November 14</w:t>
      </w:r>
      <w:r w:rsidRPr="002B741D">
        <w:rPr>
          <w:vertAlign w:val="superscript"/>
        </w:rPr>
        <w:t>th</w:t>
      </w:r>
      <w:r w:rsidRPr="002B741D">
        <w:t xml:space="preserve"> – 18</w:t>
      </w:r>
      <w:r w:rsidRPr="002B741D">
        <w:rPr>
          <w:vertAlign w:val="superscript"/>
        </w:rPr>
        <w:t>th</w:t>
      </w:r>
      <w:r w:rsidR="00B3547B" w:rsidRPr="00B3547B">
        <w:t>, 2022</w:t>
      </w:r>
    </w:p>
    <w:p w14:paraId="3086AC07" w14:textId="77777777" w:rsidR="00E90E49" w:rsidRPr="00CE0424" w:rsidRDefault="00E90E49" w:rsidP="00357380">
      <w:pPr>
        <w:pStyle w:val="3GPPHeader"/>
      </w:pPr>
    </w:p>
    <w:p w14:paraId="3982483C" w14:textId="0C3552B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3547B">
        <w:rPr>
          <w:sz w:val="22"/>
          <w:lang w:val="sv-FI"/>
        </w:rPr>
        <w:t>9.1</w:t>
      </w:r>
      <w:r w:rsidR="00E83F02">
        <w:rPr>
          <w:sz w:val="22"/>
          <w:lang w:val="sv-FI"/>
        </w:rPr>
        <w:t>2</w:t>
      </w:r>
      <w:r w:rsidR="00B3547B">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6D0B27" w:rsidR="00E90E49" w:rsidRPr="00CE0424" w:rsidRDefault="003D3C45" w:rsidP="00311702">
      <w:pPr>
        <w:pStyle w:val="3GPPHeader"/>
        <w:rPr>
          <w:sz w:val="22"/>
        </w:rPr>
      </w:pPr>
      <w:r>
        <w:rPr>
          <w:sz w:val="22"/>
        </w:rPr>
        <w:t>Title:</w:t>
      </w:r>
      <w:r w:rsidR="00E90E49" w:rsidRPr="00CE0424">
        <w:rPr>
          <w:sz w:val="22"/>
        </w:rPr>
        <w:tab/>
      </w:r>
      <w:r w:rsidR="006A3C39">
        <w:rPr>
          <w:sz w:val="22"/>
        </w:rPr>
        <w:t>L1 enhancements to inter-cell beam management</w:t>
      </w:r>
    </w:p>
    <w:p w14:paraId="025260C1" w14:textId="1EF737FA" w:rsidR="00E90E49" w:rsidRPr="00CE0424" w:rsidRDefault="00E90E49" w:rsidP="00D546FF">
      <w:pPr>
        <w:pStyle w:val="3GPPHeader"/>
        <w:rPr>
          <w:sz w:val="22"/>
        </w:rPr>
      </w:pPr>
      <w:r w:rsidRPr="00CE0424">
        <w:rPr>
          <w:sz w:val="22"/>
        </w:rPr>
        <w:t>Document for:</w:t>
      </w:r>
      <w:r w:rsidRPr="00CE0424">
        <w:rPr>
          <w:sz w:val="22"/>
        </w:rPr>
        <w:tab/>
      </w:r>
      <w:r w:rsidRPr="00B3547B">
        <w:rPr>
          <w:sz w:val="22"/>
        </w:rPr>
        <w:t>Discussion</w:t>
      </w:r>
    </w:p>
    <w:p w14:paraId="2D5672ED" w14:textId="77777777" w:rsidR="00E90E49" w:rsidRPr="00CE0424" w:rsidRDefault="00E90E49" w:rsidP="00E90E49"/>
    <w:p w14:paraId="6883CB62" w14:textId="4109FD83" w:rsidR="00E90E49" w:rsidRDefault="00E90E49" w:rsidP="00FA6C5A">
      <w:pPr>
        <w:pStyle w:val="Heading1"/>
        <w:numPr>
          <w:ilvl w:val="0"/>
          <w:numId w:val="29"/>
        </w:numPr>
      </w:pPr>
      <w:bookmarkStart w:id="0" w:name="_Ref114840340"/>
      <w:r w:rsidRPr="00CE0424">
        <w:t>Introduction</w:t>
      </w:r>
      <w:bookmarkEnd w:id="0"/>
    </w:p>
    <w:p w14:paraId="05344364" w14:textId="1B62E3DE" w:rsidR="00FA6C5A" w:rsidRPr="00FA6C5A" w:rsidRDefault="00FA6C5A" w:rsidP="00FA6C5A">
      <w:pPr>
        <w:rPr>
          <w:lang w:val="en-GB" w:eastAsia="ja-JP"/>
        </w:rPr>
      </w:pPr>
      <w:r>
        <w:rPr>
          <w:lang w:val="en-GB" w:eastAsia="ja-JP"/>
        </w:rPr>
        <w:t xml:space="preserve">The </w:t>
      </w:r>
      <w:r w:rsidR="00D37380">
        <w:rPr>
          <w:lang w:val="en-GB" w:eastAsia="ja-JP"/>
        </w:rPr>
        <w:t>objectives of the work item</w:t>
      </w:r>
      <w:r w:rsidR="00C336FE">
        <w:rPr>
          <w:lang w:val="en-GB" w:eastAsia="ja-JP"/>
        </w:rPr>
        <w:t xml:space="preserve"> </w:t>
      </w:r>
      <w:r w:rsidR="004116CF">
        <w:rPr>
          <w:lang w:val="en-GB" w:eastAsia="ja-JP"/>
        </w:rPr>
        <w:t>on NR mobility enhancements are</w:t>
      </w:r>
      <w:r w:rsidR="00215CD7">
        <w:rPr>
          <w:lang w:val="en-GB" w:eastAsia="ja-JP"/>
        </w:rPr>
        <w:t xml:space="preserve"> shown below</w:t>
      </w:r>
      <w:r w:rsidR="00215CD7">
        <w:rPr>
          <w:lang w:val="en-GB" w:eastAsia="ja-JP"/>
        </w:rPr>
        <w:fldChar w:fldCharType="begin"/>
      </w:r>
      <w:r w:rsidR="00215CD7">
        <w:rPr>
          <w:lang w:val="en-GB" w:eastAsia="ja-JP"/>
        </w:rPr>
        <w:instrText xml:space="preserve"> REF _Ref114816142 \r \h </w:instrText>
      </w:r>
      <w:r w:rsidR="00215CD7">
        <w:rPr>
          <w:lang w:val="en-GB" w:eastAsia="ja-JP"/>
        </w:rPr>
      </w:r>
      <w:r w:rsidR="00215CD7">
        <w:rPr>
          <w:lang w:val="en-GB" w:eastAsia="ja-JP"/>
        </w:rPr>
        <w:fldChar w:fldCharType="separate"/>
      </w:r>
      <w:r w:rsidR="007B562A">
        <w:rPr>
          <w:lang w:val="en-GB" w:eastAsia="ja-JP"/>
        </w:rPr>
        <w:t>[1]</w:t>
      </w:r>
      <w:r w:rsidR="00215CD7">
        <w:rPr>
          <w:lang w:val="en-GB" w:eastAsia="ja-JP"/>
        </w:rPr>
        <w:fldChar w:fldCharType="end"/>
      </w:r>
      <w:r w:rsidR="004116CF">
        <w:rPr>
          <w:lang w:val="en-GB" w:eastAsia="ja-JP"/>
        </w:rPr>
        <w:t>:</w:t>
      </w:r>
    </w:p>
    <w:p w14:paraId="619A7AEF" w14:textId="6E74A768" w:rsidR="004116CF" w:rsidRDefault="00CE23AF" w:rsidP="00CE0424">
      <w:pPr>
        <w:pStyle w:val="BodyText"/>
      </w:pPr>
      <w:r>
        <w:rPr>
          <w:noProof/>
        </w:rPr>
        <mc:AlternateContent>
          <mc:Choice Requires="wps">
            <w:drawing>
              <wp:inline distT="0" distB="0" distL="0" distR="0" wp14:anchorId="1F3F2142" wp14:editId="2A88E11E">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AD687E" w14:textId="77777777" w:rsidR="00F86087" w:rsidRPr="00F86087" w:rsidRDefault="00F86087" w:rsidP="00F86087">
                            <w:pPr>
                              <w:numPr>
                                <w:ilvl w:val="0"/>
                                <w:numId w:val="24"/>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 xml:space="preserve">Dynamic switch mechanism among candidate serving cells (including </w:t>
                            </w:r>
                            <w:proofErr w:type="spellStart"/>
                            <w:r w:rsidRPr="00F86087">
                              <w:rPr>
                                <w:rFonts w:ascii="Times New Roman" w:hAnsi="Times New Roman" w:cs="Times New Roman"/>
                                <w:bCs/>
                              </w:rPr>
                              <w:t>SpCell</w:t>
                            </w:r>
                            <w:proofErr w:type="spellEnd"/>
                            <w:r w:rsidRPr="00F86087">
                              <w:rPr>
                                <w:rFonts w:ascii="Times New Roman" w:hAnsi="Times New Roman" w:cs="Times New Roman"/>
                                <w:bCs/>
                              </w:rPr>
                              <w:t xml:space="preserve"> and SCell) for the potential applicable scenarios based on L1/L2 </w:t>
                            </w:r>
                            <w:proofErr w:type="spellStart"/>
                            <w:r w:rsidRPr="00F86087">
                              <w:rPr>
                                <w:rFonts w:ascii="Times New Roman" w:hAnsi="Times New Roman" w:cs="Times New Roman"/>
                                <w:bCs/>
                              </w:rPr>
                              <w:t>signalling</w:t>
                            </w:r>
                            <w:proofErr w:type="spellEnd"/>
                            <w:r w:rsidRPr="00F86087">
                              <w:rPr>
                                <w:rFonts w:ascii="Times New Roman" w:hAnsi="Times New Roman" w:cs="Times New Roman"/>
                                <w:bCs/>
                              </w:rPr>
                              <w:t xml:space="preserve"> [RAN2, RAN1]</w:t>
                            </w:r>
                          </w:p>
                          <w:p w14:paraId="32145A1D"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5"/>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F3F2142"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4AD687E" w14:textId="77777777" w:rsidR="00F86087" w:rsidRPr="00F86087" w:rsidRDefault="00F86087" w:rsidP="00F86087">
                      <w:pPr>
                        <w:numPr>
                          <w:ilvl w:val="0"/>
                          <w:numId w:val="24"/>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To specify mechanism and procedures of L1/L2 based inter-cell mobility for mobility latency reduction:</w:t>
                      </w:r>
                    </w:p>
                    <w:p w14:paraId="1B8E8244"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Configuration and maintenance for multiple candidate cells to allow fast application of configurations for candidate cells [RAN2, RAN3]</w:t>
                      </w:r>
                    </w:p>
                    <w:p w14:paraId="452832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Dynamic switch mechanism among candidate serving cells (including SpCell and SCell) for the potential applicable scenarios based on L1/L2 signalling [RAN2, RAN1]</w:t>
                      </w:r>
                    </w:p>
                    <w:p w14:paraId="32145A1D"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L1 enhancements for inter-cell beam management, including L1 measurement and reporting, and beam indication [RAN1, RAN2]</w:t>
                      </w:r>
                    </w:p>
                    <w:p w14:paraId="51D1D204" w14:textId="77777777" w:rsidR="00F86087" w:rsidRPr="00F86087" w:rsidRDefault="00F86087" w:rsidP="00F86087">
                      <w:pPr>
                        <w:numPr>
                          <w:ilvl w:val="1"/>
                          <w:numId w:val="25"/>
                        </w:numPr>
                        <w:overflowPunct w:val="0"/>
                        <w:autoSpaceDE w:val="0"/>
                        <w:autoSpaceDN w:val="0"/>
                        <w:adjustRightInd w:val="0"/>
                        <w:spacing w:after="0" w:line="240" w:lineRule="auto"/>
                        <w:jc w:val="both"/>
                        <w:textAlignment w:val="baseline"/>
                        <w:rPr>
                          <w:rFonts w:ascii="Times New Roman" w:hAnsi="Times New Roman" w:cs="Times New Roman"/>
                          <w:bCs/>
                          <w:i/>
                        </w:rPr>
                      </w:pPr>
                      <w:r w:rsidRPr="00F86087">
                        <w:rPr>
                          <w:rFonts w:ascii="Times New Roman" w:hAnsi="Times New Roman" w:cs="Times New Roman"/>
                          <w:bCs/>
                          <w:i/>
                        </w:rPr>
                        <w:t>Note 1: Early RAN2 involvement is necessary, including the possibility of further clarifying the interaction between this bullet with the previous bullet</w:t>
                      </w:r>
                    </w:p>
                    <w:p w14:paraId="7972C83A"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Timing Advance management [RAN1, RAN2]</w:t>
                      </w:r>
                    </w:p>
                    <w:p w14:paraId="43786509" w14:textId="77777777" w:rsidR="00F86087" w:rsidRPr="00F86087" w:rsidRDefault="00F86087" w:rsidP="00F86087">
                      <w:pPr>
                        <w:numPr>
                          <w:ilvl w:val="0"/>
                          <w:numId w:val="25"/>
                        </w:numPr>
                        <w:overflowPunct w:val="0"/>
                        <w:autoSpaceDE w:val="0"/>
                        <w:autoSpaceDN w:val="0"/>
                        <w:adjustRightInd w:val="0"/>
                        <w:spacing w:after="0" w:line="240" w:lineRule="auto"/>
                        <w:jc w:val="both"/>
                        <w:textAlignment w:val="baseline"/>
                        <w:rPr>
                          <w:rFonts w:ascii="Times New Roman" w:hAnsi="Times New Roman" w:cs="Times New Roman"/>
                          <w:bCs/>
                        </w:rPr>
                      </w:pPr>
                      <w:r w:rsidRPr="00F86087">
                        <w:rPr>
                          <w:rFonts w:ascii="Times New Roman" w:hAnsi="Times New Roman" w:cs="Times New Roman"/>
                          <w:bCs/>
                        </w:rPr>
                        <w:t>CU-DU interface signaling to support L1/L2 mobility, if needed [RAN3]</w:t>
                      </w:r>
                    </w:p>
                    <w:p w14:paraId="7CC8EFCB" w14:textId="77777777" w:rsidR="00F86087" w:rsidRPr="00F86087" w:rsidRDefault="00F86087" w:rsidP="00F86087">
                      <w:pPr>
                        <w:spacing w:after="0"/>
                        <w:jc w:val="both"/>
                        <w:rPr>
                          <w:rFonts w:ascii="Times New Roman" w:hAnsi="Times New Roman" w:cs="Times New Roman"/>
                          <w:bCs/>
                        </w:rPr>
                      </w:pPr>
                    </w:p>
                    <w:p w14:paraId="43A443AB"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2: FR2 specific enhancements are not precluded, if any.</w:t>
                      </w:r>
                    </w:p>
                    <w:p w14:paraId="0FC4D9F4" w14:textId="77777777" w:rsidR="00F86087" w:rsidRPr="00F86087" w:rsidRDefault="00F86087" w:rsidP="00F86087">
                      <w:pPr>
                        <w:spacing w:after="0"/>
                        <w:ind w:left="720"/>
                        <w:jc w:val="both"/>
                        <w:rPr>
                          <w:rFonts w:ascii="Times New Roman" w:hAnsi="Times New Roman" w:cs="Times New Roman"/>
                          <w:bCs/>
                          <w:i/>
                        </w:rPr>
                      </w:pPr>
                      <w:r w:rsidRPr="00F86087">
                        <w:rPr>
                          <w:rFonts w:ascii="Times New Roman" w:hAnsi="Times New Roman" w:cs="Times New Roman"/>
                          <w:bCs/>
                          <w:i/>
                        </w:rPr>
                        <w:t>Note 3: The procedure of L1/L2 based inter-cell mobility are applicable to the following scenarios:</w:t>
                      </w:r>
                    </w:p>
                    <w:p w14:paraId="0DEA2F8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Standalone, CA and NR-DC case with serving cell change within one CG</w:t>
                      </w:r>
                    </w:p>
                    <w:p w14:paraId="6C2DDEE6"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Intra-DU case and intra-CU inter-DU case (applicable for Standalone and CA: no new RAN interfaces are expected)</w:t>
                      </w:r>
                    </w:p>
                    <w:p w14:paraId="36CD18BD"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intra-frequency and inter-frequency</w:t>
                      </w:r>
                    </w:p>
                    <w:p w14:paraId="753AD5CF"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Both FR1 and FR2</w:t>
                      </w:r>
                    </w:p>
                    <w:p w14:paraId="6D296D84" w14:textId="77777777" w:rsidR="00F86087" w:rsidRPr="00F86087" w:rsidRDefault="00F86087" w:rsidP="00F86087">
                      <w:pPr>
                        <w:numPr>
                          <w:ilvl w:val="2"/>
                          <w:numId w:val="26"/>
                        </w:numPr>
                        <w:overflowPunct w:val="0"/>
                        <w:autoSpaceDE w:val="0"/>
                        <w:autoSpaceDN w:val="0"/>
                        <w:adjustRightInd w:val="0"/>
                        <w:spacing w:after="0" w:line="240" w:lineRule="auto"/>
                        <w:ind w:left="1443"/>
                        <w:jc w:val="both"/>
                        <w:textAlignment w:val="baseline"/>
                        <w:rPr>
                          <w:rFonts w:ascii="Times New Roman" w:hAnsi="Times New Roman" w:cs="Times New Roman"/>
                          <w:bCs/>
                          <w:i/>
                        </w:rPr>
                      </w:pPr>
                      <w:r w:rsidRPr="00F86087">
                        <w:rPr>
                          <w:rFonts w:ascii="Times New Roman" w:hAnsi="Times New Roman" w:cs="Times New Roman"/>
                          <w:bCs/>
                          <w:i/>
                        </w:rPr>
                        <w:t>Source and target cells may be synchronized or non-synchronized</w:t>
                      </w:r>
                    </w:p>
                    <w:p w14:paraId="1F0818D3" w14:textId="66B41DAF" w:rsidR="00CE23AF" w:rsidRPr="00CE23AF" w:rsidRDefault="00CE23AF" w:rsidP="00F86087">
                      <w:pPr>
                        <w:overflowPunct w:val="0"/>
                        <w:autoSpaceDE w:val="0"/>
                        <w:autoSpaceDN w:val="0"/>
                        <w:adjustRightInd w:val="0"/>
                        <w:spacing w:after="0" w:line="240" w:lineRule="auto"/>
                        <w:jc w:val="both"/>
                        <w:textAlignment w:val="baseline"/>
                        <w:rPr>
                          <w:rFonts w:ascii="Times New Roman" w:hAnsi="Times New Roman" w:cs="Times New Roman"/>
                          <w:bCs/>
                        </w:rPr>
                      </w:pPr>
                    </w:p>
                  </w:txbxContent>
                </v:textbox>
                <w10:anchorlock/>
              </v:shape>
            </w:pict>
          </mc:Fallback>
        </mc:AlternateContent>
      </w:r>
    </w:p>
    <w:p w14:paraId="05B38264" w14:textId="60848861" w:rsidR="005E6B68" w:rsidRDefault="005E6B68" w:rsidP="005E6B68">
      <w:pPr>
        <w:rPr>
          <w:lang w:val="en-GB" w:eastAsia="ja-JP"/>
        </w:rPr>
      </w:pPr>
      <w:r>
        <w:rPr>
          <w:lang w:val="en-GB" w:eastAsia="ja-JP"/>
        </w:rPr>
        <w:t>In Rel-17, inter-cell beam management (ICBM) was specified. ICBM enables the UE to communicate with a TRP broadcasting another PCI. During Rel-17, there was also a discussion in RAN2 if the ICBM functionality should be extended to L1/</w:t>
      </w:r>
      <w:r w:rsidR="00AE217F">
        <w:rPr>
          <w:lang w:val="en-GB" w:eastAsia="ja-JP"/>
        </w:rPr>
        <w:t>L</w:t>
      </w:r>
      <w:r>
        <w:rPr>
          <w:lang w:val="en-GB" w:eastAsia="ja-JP"/>
        </w:rPr>
        <w:t>2 mobility, implying a change of serving cell. In the end, RAN2 did not agree to support L1/</w:t>
      </w:r>
      <w:r w:rsidR="00AE217F">
        <w:rPr>
          <w:lang w:val="en-GB" w:eastAsia="ja-JP"/>
        </w:rPr>
        <w:t>L</w:t>
      </w:r>
      <w:r>
        <w:rPr>
          <w:lang w:val="en-GB" w:eastAsia="ja-JP"/>
        </w:rPr>
        <w:t>2 mobility</w:t>
      </w:r>
      <w:r w:rsidR="00AE217F">
        <w:rPr>
          <w:lang w:val="en-GB" w:eastAsia="ja-JP"/>
        </w:rPr>
        <w:t xml:space="preserve"> in Rel-17</w:t>
      </w:r>
      <w:r>
        <w:rPr>
          <w:lang w:val="en-GB" w:eastAsia="ja-JP"/>
        </w:rPr>
        <w:t>.</w:t>
      </w:r>
    </w:p>
    <w:p w14:paraId="529DF977" w14:textId="31F3D754" w:rsidR="005E6B68" w:rsidRPr="000261BA" w:rsidRDefault="005E6B68" w:rsidP="005E6B68">
      <w:pPr>
        <w:rPr>
          <w:lang w:val="en-GB" w:eastAsia="ja-JP"/>
        </w:rPr>
      </w:pPr>
      <w:r>
        <w:rPr>
          <w:lang w:val="en-GB" w:eastAsia="ja-JP"/>
        </w:rPr>
        <w:t>L1/</w:t>
      </w:r>
      <w:r w:rsidR="00AE217F">
        <w:rPr>
          <w:lang w:val="en-GB" w:eastAsia="ja-JP"/>
        </w:rPr>
        <w:t>L</w:t>
      </w:r>
      <w:r>
        <w:rPr>
          <w:lang w:val="en-GB" w:eastAsia="ja-JP"/>
        </w:rPr>
        <w:t xml:space="preserve">2 mobility 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7B562A">
        <w:rPr>
          <w:lang w:val="en-GB" w:eastAsia="ja-JP"/>
        </w:rPr>
        <w:t>[1]</w:t>
      </w:r>
      <w:r>
        <w:rPr>
          <w:lang w:val="en-GB" w:eastAsia="ja-JP"/>
        </w:rPr>
        <w:fldChar w:fldCharType="end"/>
      </w:r>
      <w:r>
        <w:rPr>
          <w:lang w:val="en-GB" w:eastAsia="ja-JP"/>
        </w:rPr>
        <w:t>. In the Rel-18 mobility WI, the serving cell</w:t>
      </w:r>
      <w:r w:rsidR="00E73C2B">
        <w:rPr>
          <w:lang w:val="en-GB" w:eastAsia="ja-JP"/>
        </w:rPr>
        <w:t>s of will be updated based on an indication provided on L1 or L2</w:t>
      </w:r>
      <w:r>
        <w:rPr>
          <w:lang w:val="en-GB" w:eastAsia="ja-JP"/>
        </w:rPr>
        <w:t>.</w:t>
      </w:r>
      <w:r w:rsidR="00E73C2B">
        <w:rPr>
          <w:lang w:val="en-GB" w:eastAsia="ja-JP"/>
        </w:rPr>
        <w:t xml:space="preserve"> </w:t>
      </w:r>
    </w:p>
    <w:p w14:paraId="7BE4CA8B" w14:textId="342E7508" w:rsidR="00AE217F" w:rsidRDefault="00AE217F" w:rsidP="00CE0424">
      <w:pPr>
        <w:pStyle w:val="BodyText"/>
      </w:pPr>
      <w:r>
        <w:t xml:space="preserve">In the LS </w:t>
      </w:r>
      <w:r>
        <w:fldChar w:fldCharType="begin"/>
      </w:r>
      <w:r>
        <w:instrText xml:space="preserve"> REF _Ref118192366 \r \h </w:instrText>
      </w:r>
      <w:r>
        <w:fldChar w:fldCharType="separate"/>
      </w:r>
      <w:r w:rsidR="007B562A">
        <w:t>[4]</w:t>
      </w:r>
      <w:r>
        <w:fldChar w:fldCharType="end"/>
      </w:r>
      <w:r>
        <w:t>, RAN2 states that the term LTM (</w:t>
      </w:r>
      <w:r w:rsidRPr="004C4F1C">
        <w:rPr>
          <w:rFonts w:cs="Arial"/>
        </w:rPr>
        <w:t>L1/L2-triggered mobility</w:t>
      </w:r>
      <w:r>
        <w:t>) will be used, and we will adopt this terminology in our contributions.</w:t>
      </w:r>
    </w:p>
    <w:p w14:paraId="1BA08305" w14:textId="1DAFC9FE" w:rsidR="004116CF" w:rsidRPr="00CE0424" w:rsidRDefault="004116CF" w:rsidP="00CE0424">
      <w:pPr>
        <w:pStyle w:val="BodyText"/>
      </w:pPr>
      <w:r>
        <w:t>I</w:t>
      </w:r>
      <w:r w:rsidR="003C1B1F">
        <w:t>n</w:t>
      </w:r>
      <w:r>
        <w:t xml:space="preserve"> this contribution, we discuss the </w:t>
      </w:r>
      <w:r w:rsidR="00964C38" w:rsidRPr="00964C38">
        <w:t>L1 enhancements for inter-cell beam management</w:t>
      </w:r>
      <w:r w:rsidR="00964C38">
        <w:t xml:space="preserve"> of</w:t>
      </w:r>
      <w:r w:rsidR="003C1B1F">
        <w:t xml:space="preserve"> the work item.</w:t>
      </w:r>
    </w:p>
    <w:p w14:paraId="60123794" w14:textId="4B77FCC3" w:rsidR="004000E8" w:rsidRDefault="00230D18" w:rsidP="00CE0424">
      <w:pPr>
        <w:pStyle w:val="Heading1"/>
      </w:pPr>
      <w:r>
        <w:lastRenderedPageBreak/>
        <w:t>2</w:t>
      </w:r>
      <w:r>
        <w:tab/>
      </w:r>
      <w:bookmarkStart w:id="1" w:name="_Ref178064866"/>
      <w:r w:rsidR="004000E8" w:rsidRPr="00CE0424">
        <w:t>Discussion</w:t>
      </w:r>
      <w:bookmarkEnd w:id="1"/>
    </w:p>
    <w:p w14:paraId="5528A1D3" w14:textId="72988E59" w:rsidR="000E46D6" w:rsidRPr="000E46D6" w:rsidRDefault="000E46D6" w:rsidP="000E46D6">
      <w:pPr>
        <w:rPr>
          <w:lang w:val="en-GB" w:eastAsia="ja-JP"/>
        </w:rPr>
      </w:pPr>
      <w:r>
        <w:rPr>
          <w:lang w:val="en-GB" w:eastAsia="ja-JP"/>
        </w:rPr>
        <w:t>The main motivation of L1/</w:t>
      </w:r>
      <w:r w:rsidR="00EE6FD6">
        <w:rPr>
          <w:lang w:val="en-GB" w:eastAsia="ja-JP"/>
        </w:rPr>
        <w:t>L</w:t>
      </w:r>
      <w:r>
        <w:rPr>
          <w:lang w:val="en-GB" w:eastAsia="ja-JP"/>
        </w:rPr>
        <w:t>2 mobility is to reduce the interruption, although there may be benefits also related to robustness.</w:t>
      </w:r>
      <w:r w:rsidR="004D784F">
        <w:rPr>
          <w:lang w:val="en-GB" w:eastAsia="ja-JP"/>
        </w:rPr>
        <w:t xml:space="preserve"> To understand how </w:t>
      </w:r>
      <w:r w:rsidR="00152ED7">
        <w:rPr>
          <w:lang w:val="en-GB" w:eastAsia="ja-JP"/>
        </w:rPr>
        <w:t>LTM</w:t>
      </w:r>
      <w:r w:rsidR="004D784F">
        <w:rPr>
          <w:lang w:val="en-GB" w:eastAsia="ja-JP"/>
        </w:rPr>
        <w:t xml:space="preserve"> would reduce the interruption, it is important to investigate what causes the interrupt for a handover.</w:t>
      </w:r>
    </w:p>
    <w:p w14:paraId="2B61ADE0" w14:textId="105FA255" w:rsidR="00021368" w:rsidRDefault="00021368" w:rsidP="009801D0">
      <w:pPr>
        <w:pStyle w:val="TH"/>
      </w:pPr>
      <w:r>
        <w:rPr>
          <w:noProof/>
        </w:rPr>
        <w:drawing>
          <wp:inline distT="0" distB="0" distL="0" distR="0" wp14:anchorId="4A2B3C1F" wp14:editId="07BFE17E">
            <wp:extent cx="6114831" cy="1828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254" b="2992"/>
                    <a:stretch/>
                  </pic:blipFill>
                  <pic:spPr bwMode="auto">
                    <a:xfrm>
                      <a:off x="0" y="0"/>
                      <a:ext cx="6151490" cy="1839764"/>
                    </a:xfrm>
                    <a:prstGeom prst="rect">
                      <a:avLst/>
                    </a:prstGeom>
                    <a:noFill/>
                    <a:ln>
                      <a:noFill/>
                    </a:ln>
                    <a:extLst>
                      <a:ext uri="{53640926-AAD7-44D8-BBD7-CCE9431645EC}">
                        <a14:shadowObscured xmlns:a14="http://schemas.microsoft.com/office/drawing/2010/main"/>
                      </a:ext>
                    </a:extLst>
                  </pic:spPr>
                </pic:pic>
              </a:graphicData>
            </a:graphic>
          </wp:inline>
        </w:drawing>
      </w:r>
    </w:p>
    <w:p w14:paraId="489B7AAD" w14:textId="2203569A" w:rsidR="009801D0" w:rsidRDefault="009801D0" w:rsidP="009801D0">
      <w:pPr>
        <w:pStyle w:val="TF"/>
        <w:rPr>
          <w:lang w:val="en-GB" w:eastAsia="en-GB"/>
        </w:rPr>
      </w:pPr>
      <w:bookmarkStart w:id="2" w:name="_Ref114840128"/>
      <w:r>
        <w:t xml:space="preserve">Figure </w:t>
      </w:r>
      <w:r w:rsidR="007B562A">
        <w:fldChar w:fldCharType="begin"/>
      </w:r>
      <w:r w:rsidR="007B562A">
        <w:instrText xml:space="preserve"> SEQ Figure \* ARABIC </w:instrText>
      </w:r>
      <w:r w:rsidR="007B562A">
        <w:fldChar w:fldCharType="separate"/>
      </w:r>
      <w:r w:rsidR="007B562A">
        <w:rPr>
          <w:noProof/>
        </w:rPr>
        <w:t>1</w:t>
      </w:r>
      <w:r w:rsidR="007B562A">
        <w:rPr>
          <w:noProof/>
        </w:rPr>
        <w:fldChar w:fldCharType="end"/>
      </w:r>
      <w:bookmarkEnd w:id="2"/>
      <w:r>
        <w:t xml:space="preserve">: </w:t>
      </w:r>
      <w:r w:rsidRPr="00BD0AD4">
        <w:t>Timeline of the foreseen procedure for a L1/L2 handover.</w:t>
      </w:r>
    </w:p>
    <w:p w14:paraId="08AE6B6E" w14:textId="2F31A63C" w:rsidR="00964C38" w:rsidRDefault="009801D0" w:rsidP="005710CA">
      <w:pPr>
        <w:rPr>
          <w:lang w:val="en-GB" w:eastAsia="en-GB"/>
        </w:rPr>
      </w:pPr>
      <w:r>
        <w:rPr>
          <w:lang w:val="en-GB" w:eastAsia="en-GB"/>
        </w:rPr>
        <w:fldChar w:fldCharType="begin"/>
      </w:r>
      <w:r>
        <w:rPr>
          <w:lang w:val="en-GB" w:eastAsia="en-GB"/>
        </w:rPr>
        <w:instrText xml:space="preserve"> REF _Ref114840128 \h </w:instrText>
      </w:r>
      <w:r>
        <w:rPr>
          <w:lang w:val="en-GB" w:eastAsia="en-GB"/>
        </w:rPr>
      </w:r>
      <w:r>
        <w:rPr>
          <w:lang w:val="en-GB" w:eastAsia="en-GB"/>
        </w:rPr>
        <w:fldChar w:fldCharType="separate"/>
      </w:r>
      <w:r w:rsidR="007B562A">
        <w:t xml:space="preserve">Figure </w:t>
      </w:r>
      <w:r w:rsidR="007B562A">
        <w:rPr>
          <w:noProof/>
        </w:rPr>
        <w:t>1</w:t>
      </w:r>
      <w:r>
        <w:rPr>
          <w:lang w:val="en-GB" w:eastAsia="en-GB"/>
        </w:rPr>
        <w:fldChar w:fldCharType="end"/>
      </w:r>
      <w:r>
        <w:rPr>
          <w:lang w:val="en-GB" w:eastAsia="en-GB"/>
        </w:rPr>
        <w:t xml:space="preserve"> </w:t>
      </w:r>
      <w:r w:rsidR="00215CD7">
        <w:rPr>
          <w:lang w:val="en-GB" w:eastAsia="en-GB"/>
        </w:rPr>
        <w:t xml:space="preserve">shows the timeline </w:t>
      </w:r>
      <w:r w:rsidR="00435785">
        <w:rPr>
          <w:lang w:val="en-GB" w:eastAsia="en-GB"/>
        </w:rPr>
        <w:t xml:space="preserve">for the foreseen L1/L2 </w:t>
      </w:r>
      <w:r w:rsidR="00215CD7">
        <w:rPr>
          <w:lang w:val="en-GB" w:eastAsia="en-GB"/>
        </w:rPr>
        <w:t xml:space="preserve">handover. </w:t>
      </w:r>
      <w:r w:rsidR="00435785">
        <w:rPr>
          <w:lang w:val="en-GB" w:eastAsia="en-GB"/>
        </w:rPr>
        <w:t>The network has prepared a set of candidate configurations, and a</w:t>
      </w:r>
      <w:r w:rsidR="004D784F">
        <w:rPr>
          <w:lang w:val="en-GB" w:eastAsia="en-GB"/>
        </w:rPr>
        <w:t xml:space="preserve">t some </w:t>
      </w:r>
      <w:proofErr w:type="gramStart"/>
      <w:r w:rsidR="0051082D">
        <w:rPr>
          <w:lang w:val="en-GB" w:eastAsia="en-GB"/>
        </w:rPr>
        <w:t>point</w:t>
      </w:r>
      <w:proofErr w:type="gramEnd"/>
      <w:r w:rsidR="004D784F">
        <w:rPr>
          <w:lang w:val="en-GB" w:eastAsia="en-GB"/>
        </w:rPr>
        <w:t xml:space="preserve"> in time, the network identifies a target</w:t>
      </w:r>
      <w:r w:rsidR="00435785">
        <w:rPr>
          <w:lang w:val="en-GB" w:eastAsia="en-GB"/>
        </w:rPr>
        <w:t>. The NW sends a cell-switch command to the UE, which executes the reconfiguration. Before starting communication with the target, the UE must acquire DL and UL synchronization with the target. On high level, the interruption consists of three parts:</w:t>
      </w:r>
      <w:r w:rsidR="004D784F">
        <w:rPr>
          <w:lang w:val="en-GB" w:eastAsia="en-GB"/>
        </w:rPr>
        <w:t xml:space="preserve"> </w:t>
      </w:r>
    </w:p>
    <w:p w14:paraId="412812B5" w14:textId="325E37EF"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UE reconfiguration</w:t>
      </w:r>
    </w:p>
    <w:p w14:paraId="6394AAAE" w14:textId="31DD0EB6"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DL synchronization</w:t>
      </w:r>
    </w:p>
    <w:p w14:paraId="088A3BA8" w14:textId="36BB48A5" w:rsidR="00435785" w:rsidRPr="00131337" w:rsidRDefault="00435785" w:rsidP="00C53CD6">
      <w:pPr>
        <w:pStyle w:val="ListParagraph"/>
        <w:numPr>
          <w:ilvl w:val="0"/>
          <w:numId w:val="31"/>
        </w:numPr>
        <w:rPr>
          <w:rFonts w:ascii="Arial" w:hAnsi="Arial" w:cs="Arial"/>
          <w:sz w:val="20"/>
          <w:szCs w:val="20"/>
          <w:lang w:val="en-GB" w:eastAsia="en-GB"/>
        </w:rPr>
      </w:pPr>
      <w:r w:rsidRPr="00131337">
        <w:rPr>
          <w:rFonts w:ascii="Arial" w:hAnsi="Arial" w:cs="Arial"/>
          <w:sz w:val="20"/>
          <w:szCs w:val="20"/>
          <w:lang w:val="en-GB" w:eastAsia="en-GB"/>
        </w:rPr>
        <w:t>UL synchronization</w:t>
      </w:r>
    </w:p>
    <w:p w14:paraId="78D27EE1" w14:textId="0E730F3C" w:rsidR="0051082D" w:rsidRDefault="00C53CD6" w:rsidP="00435785">
      <w:pPr>
        <w:rPr>
          <w:lang w:val="en-GB" w:eastAsia="en-GB"/>
        </w:rPr>
      </w:pPr>
      <w:r>
        <w:rPr>
          <w:lang w:val="en-GB" w:eastAsia="en-GB"/>
        </w:rPr>
        <w:t xml:space="preserve">In the work on mobility in Rel-18, RAN2 will work on reducing the duration of the UE reconfiguration, RAN1 and RAN4 will work on reducing the DL synchronization time and RAN1, RAN2 and RAN4 will work on reducing the UL synchronization time. All three parts are important.  </w:t>
      </w:r>
    </w:p>
    <w:p w14:paraId="647C82CA" w14:textId="3D6E2812" w:rsidR="006B7E4B" w:rsidRDefault="006B7E4B" w:rsidP="00435785">
      <w:pPr>
        <w:rPr>
          <w:lang w:val="en-GB" w:eastAsia="en-GB"/>
        </w:rPr>
      </w:pPr>
      <w:r>
        <w:rPr>
          <w:lang w:val="en-GB" w:eastAsia="en-GB"/>
        </w:rPr>
        <w:t xml:space="preserve">Reducing the UL synchronization time, i.e., to establish timing advance to the new cell, is the topic of AI 9.12.2. The solutions for this are outlined in our paper </w:t>
      </w:r>
      <w:r>
        <w:rPr>
          <w:lang w:val="en-GB" w:eastAsia="en-GB"/>
        </w:rPr>
        <w:fldChar w:fldCharType="begin"/>
      </w:r>
      <w:r>
        <w:rPr>
          <w:lang w:val="en-GB" w:eastAsia="en-GB"/>
        </w:rPr>
        <w:instrText xml:space="preserve"> REF _Ref114839978 \r \h </w:instrText>
      </w:r>
      <w:r>
        <w:rPr>
          <w:lang w:val="en-GB" w:eastAsia="en-GB"/>
        </w:rPr>
      </w:r>
      <w:r>
        <w:rPr>
          <w:lang w:val="en-GB" w:eastAsia="en-GB"/>
        </w:rPr>
        <w:fldChar w:fldCharType="separate"/>
      </w:r>
      <w:r w:rsidR="007B562A">
        <w:rPr>
          <w:lang w:val="en-GB" w:eastAsia="en-GB"/>
        </w:rPr>
        <w:t>[3]</w:t>
      </w:r>
      <w:r>
        <w:rPr>
          <w:lang w:val="en-GB" w:eastAsia="en-GB"/>
        </w:rPr>
        <w:fldChar w:fldCharType="end"/>
      </w:r>
      <w:r>
        <w:rPr>
          <w:lang w:val="en-GB" w:eastAsia="en-GB"/>
        </w:rPr>
        <w:t>. One idea on how to reduce DL synchronization time is described in section 2.3.</w:t>
      </w:r>
    </w:p>
    <w:p w14:paraId="4955122F" w14:textId="4E7E75DD" w:rsidR="00435785" w:rsidRDefault="0051082D" w:rsidP="00435785">
      <w:pPr>
        <w:rPr>
          <w:lang w:val="en-GB" w:eastAsia="en-GB"/>
        </w:rPr>
      </w:pPr>
      <w:r w:rsidRPr="0051082D">
        <w:rPr>
          <w:lang w:val="en-GB" w:eastAsia="en-GB"/>
        </w:rPr>
        <w:t xml:space="preserve">We note that under some circumstances, RAN4 specified a DL synchronization time also for beam management. Hence, to reduce </w:t>
      </w:r>
      <w:r w:rsidR="00953F5B" w:rsidRPr="0051082D">
        <w:rPr>
          <w:lang w:val="en-GB" w:eastAsia="en-GB"/>
        </w:rPr>
        <w:t>DL synchronization time, RAN4 involvement is crucial:</w:t>
      </w:r>
    </w:p>
    <w:p w14:paraId="61BB79AD" w14:textId="640C92CA" w:rsidR="00953F5B" w:rsidRPr="00435785" w:rsidRDefault="00953F5B" w:rsidP="00953F5B">
      <w:pPr>
        <w:pStyle w:val="Observation"/>
        <w:rPr>
          <w:lang w:val="en-GB"/>
        </w:rPr>
      </w:pPr>
      <w:bookmarkStart w:id="3" w:name="_Toc118454789"/>
      <w:r>
        <w:rPr>
          <w:lang w:val="en-GB"/>
        </w:rPr>
        <w:t>To reduce DL synchronization time, early RAN4 involvement is crucial.</w:t>
      </w:r>
      <w:bookmarkEnd w:id="3"/>
    </w:p>
    <w:p w14:paraId="3ED95F88" w14:textId="25FEB9DE" w:rsidR="009801D0" w:rsidRDefault="001207E7" w:rsidP="001207E7">
      <w:pPr>
        <w:rPr>
          <w:lang w:val="en-GB" w:eastAsia="en-GB"/>
        </w:rPr>
      </w:pPr>
      <w:r>
        <w:rPr>
          <w:lang w:val="en-GB" w:eastAsia="en-GB"/>
        </w:rPr>
        <w:t xml:space="preserve">RAN2 sent an LS to RAN1 on the initial agreements related to </w:t>
      </w:r>
      <w:r w:rsidR="00152ED7">
        <w:rPr>
          <w:lang w:val="en-GB" w:eastAsia="en-GB"/>
        </w:rPr>
        <w:t>LTM</w:t>
      </w:r>
      <w:r>
        <w:rPr>
          <w:lang w:val="en-GB" w:eastAsia="en-GB"/>
        </w:rPr>
        <w:t xml:space="preserve"> </w:t>
      </w:r>
      <w:r>
        <w:rPr>
          <w:lang w:val="en-GB" w:eastAsia="en-GB"/>
        </w:rPr>
        <w:fldChar w:fldCharType="begin"/>
      </w:r>
      <w:r>
        <w:rPr>
          <w:lang w:val="en-GB" w:eastAsia="en-GB"/>
        </w:rPr>
        <w:instrText xml:space="preserve"> REF _Ref114840333 \r \h </w:instrText>
      </w:r>
      <w:r>
        <w:rPr>
          <w:lang w:val="en-GB" w:eastAsia="en-GB"/>
        </w:rPr>
      </w:r>
      <w:r>
        <w:rPr>
          <w:lang w:val="en-GB" w:eastAsia="en-GB"/>
        </w:rPr>
        <w:fldChar w:fldCharType="separate"/>
      </w:r>
      <w:r w:rsidR="007B562A">
        <w:rPr>
          <w:lang w:val="en-GB" w:eastAsia="en-GB"/>
        </w:rPr>
        <w:t>[2]</w:t>
      </w:r>
      <w:r>
        <w:rPr>
          <w:lang w:val="en-GB" w:eastAsia="en-GB"/>
        </w:rPr>
        <w:fldChar w:fldCharType="end"/>
      </w:r>
      <w:r>
        <w:rPr>
          <w:lang w:val="en-GB" w:eastAsia="en-GB"/>
        </w:rPr>
        <w:t xml:space="preserve">. Here </w:t>
      </w:r>
      <w:r w:rsidR="0006627F">
        <w:rPr>
          <w:lang w:val="en-GB" w:eastAsia="en-GB"/>
        </w:rPr>
        <w:t>we would like to highlight the following agreement:</w:t>
      </w:r>
      <w:r>
        <w:rPr>
          <w:lang w:val="en-GB" w:eastAsia="en-GB"/>
        </w:rPr>
        <w:t xml:space="preserve"> </w:t>
      </w:r>
    </w:p>
    <w:p w14:paraId="4DE23D95" w14:textId="594D1796" w:rsidR="00964601" w:rsidRPr="00177C4D" w:rsidRDefault="006A3C39" w:rsidP="006A3C39">
      <w:pPr>
        <w:pStyle w:val="Agreement"/>
        <w:tabs>
          <w:tab w:val="clear" w:pos="1619"/>
          <w:tab w:val="num" w:pos="810"/>
        </w:tabs>
        <w:ind w:left="810" w:hanging="450"/>
      </w:pPr>
      <w:r>
        <w:t xml:space="preserve">ICBM is one scenario considered for </w:t>
      </w:r>
      <w:r w:rsidR="009F3F92">
        <w:t>L1/L2</w:t>
      </w:r>
      <w:r>
        <w:t xml:space="preserve"> mobility, but is not the only one, and is not a prerequisite for using </w:t>
      </w:r>
      <w:r w:rsidR="009F3F92">
        <w:t>L1/L2</w:t>
      </w:r>
      <w:r>
        <w:t xml:space="preserve"> mobility.</w:t>
      </w:r>
    </w:p>
    <w:p w14:paraId="5C54BA9B" w14:textId="7D8EC369" w:rsidR="0006627F" w:rsidRDefault="00177C4D" w:rsidP="006A3C39">
      <w:pPr>
        <w:rPr>
          <w:lang w:val="en-GB" w:eastAsia="ja-JP"/>
        </w:rPr>
      </w:pPr>
      <w:r>
        <w:rPr>
          <w:lang w:val="en-GB" w:eastAsia="ja-JP"/>
        </w:rPr>
        <w:br/>
      </w:r>
      <w:r w:rsidR="0006627F">
        <w:rPr>
          <w:lang w:val="en-GB" w:eastAsia="ja-JP"/>
        </w:rPr>
        <w:t xml:space="preserve">Hence, RAN2 concluded that the ICBM functionality, which was standardized during Rel-17, is not a prerequisite for </w:t>
      </w:r>
      <w:r w:rsidR="00152ED7">
        <w:rPr>
          <w:lang w:val="en-GB" w:eastAsia="ja-JP"/>
        </w:rPr>
        <w:t>LTM</w:t>
      </w:r>
      <w:r w:rsidR="0006627F">
        <w:rPr>
          <w:lang w:val="en-GB" w:eastAsia="ja-JP"/>
        </w:rPr>
        <w:t xml:space="preserve">. RAN2 also hints that a direct extension of ICBM is not a relevant solution for the beam indication and beam measurements of </w:t>
      </w:r>
      <w:r w:rsidR="00152ED7">
        <w:rPr>
          <w:lang w:val="en-GB" w:eastAsia="ja-JP"/>
        </w:rPr>
        <w:t>LTM</w:t>
      </w:r>
      <w:r w:rsidR="0006627F">
        <w:rPr>
          <w:lang w:val="en-GB" w:eastAsia="ja-JP"/>
        </w:rPr>
        <w:t xml:space="preserve">. </w:t>
      </w:r>
    </w:p>
    <w:p w14:paraId="0DA5C2FE" w14:textId="547C7EA5" w:rsidR="00131337" w:rsidRDefault="0006627F" w:rsidP="006A3C39">
      <w:pPr>
        <w:rPr>
          <w:lang w:val="en-GB" w:eastAsia="ja-JP"/>
        </w:rPr>
      </w:pPr>
      <w:r>
        <w:rPr>
          <w:lang w:val="en-GB" w:eastAsia="ja-JP"/>
        </w:rPr>
        <w:t xml:space="preserve">The background of this agreement is </w:t>
      </w:r>
      <w:r w:rsidR="00131337">
        <w:rPr>
          <w:lang w:val="en-GB" w:eastAsia="ja-JP"/>
        </w:rPr>
        <w:t>the following RAN2 agreement:</w:t>
      </w:r>
    </w:p>
    <w:p w14:paraId="6E978E82" w14:textId="77777777" w:rsidR="00131337" w:rsidRPr="00D31866" w:rsidRDefault="00131337" w:rsidP="00131337">
      <w:pPr>
        <w:pStyle w:val="Agreement"/>
        <w:tabs>
          <w:tab w:val="clear" w:pos="1619"/>
          <w:tab w:val="num" w:pos="810"/>
        </w:tabs>
        <w:ind w:left="810" w:hanging="450"/>
      </w:pPr>
      <w:r w:rsidRPr="00D31866">
        <w:t>The design for intra-DU and inter-DU L1/L2-based mobility should share as much commonality as reasonable. FFS which aspects need to be different.</w:t>
      </w:r>
    </w:p>
    <w:p w14:paraId="5A19E9DD" w14:textId="77777777" w:rsidR="00131337" w:rsidRDefault="00131337" w:rsidP="006A3C39">
      <w:pPr>
        <w:rPr>
          <w:lang w:val="en-GB" w:eastAsia="ja-JP"/>
        </w:rPr>
      </w:pPr>
    </w:p>
    <w:p w14:paraId="60EFDA08" w14:textId="33536781" w:rsidR="00131337" w:rsidRDefault="00131337" w:rsidP="006A3C39">
      <w:pPr>
        <w:rPr>
          <w:lang w:val="en-GB" w:eastAsia="ja-JP"/>
        </w:rPr>
      </w:pPr>
      <w:r>
        <w:rPr>
          <w:lang w:val="en-GB" w:eastAsia="ja-JP"/>
        </w:rPr>
        <w:lastRenderedPageBreak/>
        <w:t xml:space="preserve">ICBM only works for intra-frequency and intra-DU, whereas </w:t>
      </w:r>
      <w:r w:rsidR="00152ED7">
        <w:rPr>
          <w:lang w:val="en-GB" w:eastAsia="ja-JP"/>
        </w:rPr>
        <w:t>LTM</w:t>
      </w:r>
      <w:r>
        <w:rPr>
          <w:lang w:val="en-GB" w:eastAsia="ja-JP"/>
        </w:rPr>
        <w:t xml:space="preserve"> must work also for inter-frequency and inter-DU</w:t>
      </w:r>
      <w:r w:rsidR="004E00EB">
        <w:rPr>
          <w:lang w:val="en-GB" w:eastAsia="ja-JP"/>
        </w:rPr>
        <w:t xml:space="preserve">. At first glance, it may seem there is no RAN1 impact on inter-DU deployment. However, this may be wrong: in general, one DU is not aware of the properties of another DU. Hence, one DU (the serving DU) cannot </w:t>
      </w:r>
      <w:r w:rsidR="00EE6FD6">
        <w:rPr>
          <w:lang w:val="en-GB" w:eastAsia="ja-JP"/>
        </w:rPr>
        <w:t xml:space="preserve">automatically </w:t>
      </w:r>
      <w:r w:rsidR="004E00EB">
        <w:rPr>
          <w:lang w:val="en-GB" w:eastAsia="ja-JP"/>
        </w:rPr>
        <w:t>configure the UE for operation in another DU (the target DU) – or at least this would require significant RAN3 involvement. We note that ICBM relies heavily on that the serving DU provides the UE with the configuration of the target cell, which may be served by another DU. Hence, we observe</w:t>
      </w:r>
    </w:p>
    <w:p w14:paraId="49EEAC91" w14:textId="3386B2E1" w:rsidR="0006627F" w:rsidRDefault="004E00EB" w:rsidP="0006627F">
      <w:pPr>
        <w:pStyle w:val="Observation"/>
        <w:rPr>
          <w:lang w:val="en-GB"/>
        </w:rPr>
      </w:pPr>
      <w:bookmarkStart w:id="4" w:name="_Toc118454790"/>
      <w:r>
        <w:rPr>
          <w:lang w:val="en-GB"/>
        </w:rPr>
        <w:t>It is difficult to extend the Rel-17 ICBM to work across DUs.</w:t>
      </w:r>
      <w:bookmarkEnd w:id="4"/>
    </w:p>
    <w:p w14:paraId="78DCD5D7" w14:textId="3AEED2E3" w:rsidR="0033134A" w:rsidRPr="001E677E" w:rsidRDefault="0033134A" w:rsidP="0033134A">
      <w:pPr>
        <w:rPr>
          <w:lang w:val="en-GB"/>
        </w:rPr>
      </w:pPr>
      <w:r>
        <w:rPr>
          <w:lang w:val="en-GB"/>
        </w:rPr>
        <w:t xml:space="preserve">Extending Rel-17 ICBM across DUs would require a significant amount of work for RAN3. Even if RAN3 would introduce sharing of configuration across DUs, ICBM would require that the UE is configured with many TCI states. This is a hard limitation in the UE, and enhancements were introduced in Rel-17 to reduce the number of TCI states the UE would have to be configured with.  </w:t>
      </w:r>
    </w:p>
    <w:p w14:paraId="78C2E348" w14:textId="77777777" w:rsidR="006A3C39" w:rsidRDefault="006A3C39" w:rsidP="006A3C39">
      <w:pPr>
        <w:pStyle w:val="Heading2"/>
      </w:pPr>
      <w:r>
        <w:t>2.1</w:t>
      </w:r>
      <w:r>
        <w:tab/>
        <w:t>Beam indication</w:t>
      </w:r>
    </w:p>
    <w:p w14:paraId="388BEF69" w14:textId="3CC0A167" w:rsidR="00923EC6" w:rsidRDefault="00FC063B" w:rsidP="006A3C39">
      <w:pPr>
        <w:rPr>
          <w:lang w:val="en-GB" w:eastAsia="ja-JP"/>
        </w:rPr>
      </w:pPr>
      <w:r>
        <w:rPr>
          <w:lang w:val="en-GB" w:eastAsia="ja-JP"/>
        </w:rPr>
        <w:t xml:space="preserve">In the LS </w:t>
      </w:r>
      <w:r>
        <w:rPr>
          <w:lang w:val="en-GB" w:eastAsia="ja-JP"/>
        </w:rPr>
        <w:fldChar w:fldCharType="begin"/>
      </w:r>
      <w:r>
        <w:rPr>
          <w:lang w:val="en-GB" w:eastAsia="ja-JP"/>
        </w:rPr>
        <w:instrText xml:space="preserve"> REF _Ref114840333 \r \h </w:instrText>
      </w:r>
      <w:r>
        <w:rPr>
          <w:lang w:val="en-GB" w:eastAsia="ja-JP"/>
        </w:rPr>
      </w:r>
      <w:r>
        <w:rPr>
          <w:lang w:val="en-GB" w:eastAsia="ja-JP"/>
        </w:rPr>
        <w:fldChar w:fldCharType="separate"/>
      </w:r>
      <w:r w:rsidR="007B562A">
        <w:rPr>
          <w:lang w:val="en-GB" w:eastAsia="ja-JP"/>
        </w:rPr>
        <w:t>[2]</w:t>
      </w:r>
      <w:r>
        <w:rPr>
          <w:lang w:val="en-GB" w:eastAsia="ja-JP"/>
        </w:rPr>
        <w:fldChar w:fldCharType="end"/>
      </w:r>
      <w:r>
        <w:rPr>
          <w:lang w:val="en-GB" w:eastAsia="ja-JP"/>
        </w:rPr>
        <w:t xml:space="preserve">, RAN2 talks about the cell switch command, which is the </w:t>
      </w:r>
      <w:r w:rsidR="009F3F92">
        <w:rPr>
          <w:lang w:val="en-GB" w:eastAsia="ja-JP"/>
        </w:rPr>
        <w:t>L1/L2</w:t>
      </w:r>
      <w:r>
        <w:rPr>
          <w:lang w:val="en-GB" w:eastAsia="ja-JP"/>
        </w:rPr>
        <w:t xml:space="preserve"> command that triggers the cell switch, or reconfiguration. </w:t>
      </w:r>
    </w:p>
    <w:p w14:paraId="03A174F7" w14:textId="77777777" w:rsidR="0036013C" w:rsidRDefault="00923EC6" w:rsidP="006A3C39">
      <w:pPr>
        <w:rPr>
          <w:lang w:val="en-GB" w:eastAsia="ja-JP"/>
        </w:rPr>
      </w:pPr>
      <w:r>
        <w:rPr>
          <w:lang w:val="en-GB" w:eastAsia="ja-JP"/>
        </w:rPr>
        <w:t xml:space="preserve">The term “beam indication” is used in beam management and represents the </w:t>
      </w:r>
      <w:proofErr w:type="spellStart"/>
      <w:r>
        <w:rPr>
          <w:lang w:val="en-GB" w:eastAsia="ja-JP"/>
        </w:rPr>
        <w:t>signaling</w:t>
      </w:r>
      <w:proofErr w:type="spellEnd"/>
      <w:r>
        <w:rPr>
          <w:lang w:val="en-GB" w:eastAsia="ja-JP"/>
        </w:rPr>
        <w:t xml:space="preserve"> where the UE obtains a new QCL indication for reception of DL signals, most notably the PDCCH/PDSCH. In the context of LTM, once the new QCL indication takes effect, i.e., after the beam application time, the UE would receive the DL from the new TRP. </w:t>
      </w:r>
    </w:p>
    <w:p w14:paraId="5619E61D" w14:textId="2045559D" w:rsidR="0036013C" w:rsidRDefault="0036013C" w:rsidP="006A3C39">
      <w:pPr>
        <w:rPr>
          <w:lang w:val="en-GB" w:eastAsia="ja-JP"/>
        </w:rPr>
      </w:pPr>
      <w:r>
        <w:rPr>
          <w:lang w:val="en-GB" w:eastAsia="ja-JP"/>
        </w:rPr>
        <w:t xml:space="preserve">Conceptually, the LTM mobility trigger information has two parts: </w:t>
      </w:r>
    </w:p>
    <w:p w14:paraId="7307F38A" w14:textId="26E5C1D5" w:rsidR="0036013C" w:rsidRDefault="0036013C" w:rsidP="0036013C">
      <w:pPr>
        <w:pStyle w:val="ListBullet"/>
        <w:rPr>
          <w:lang w:val="en-GB"/>
        </w:rPr>
      </w:pPr>
      <w:r>
        <w:rPr>
          <w:lang w:val="en-GB"/>
        </w:rPr>
        <w:t>the beam indication – this is RAN1’s responsibility</w:t>
      </w:r>
    </w:p>
    <w:p w14:paraId="378EAE08" w14:textId="232549E8" w:rsidR="00923EC6" w:rsidRDefault="0036013C" w:rsidP="0036013C">
      <w:pPr>
        <w:pStyle w:val="ListBullet"/>
        <w:rPr>
          <w:lang w:val="en-GB"/>
        </w:rPr>
      </w:pPr>
      <w:r>
        <w:rPr>
          <w:lang w:val="en-GB"/>
        </w:rPr>
        <w:t>the cell switch command – this is RAN2’s responsibility</w:t>
      </w:r>
      <w:r w:rsidR="00EE6FD6">
        <w:rPr>
          <w:lang w:val="en-GB"/>
        </w:rPr>
        <w:t xml:space="preserve">. </w:t>
      </w:r>
      <w:proofErr w:type="gramStart"/>
      <w:r w:rsidR="00EE6FD6">
        <w:rPr>
          <w:lang w:val="en-GB"/>
        </w:rPr>
        <w:t>For the purpose of</w:t>
      </w:r>
      <w:proofErr w:type="gramEnd"/>
      <w:r w:rsidR="00EE6FD6">
        <w:rPr>
          <w:lang w:val="en-GB"/>
        </w:rPr>
        <w:t xml:space="preserve"> the discussion in this paper, all content specified by RAN2 will be lumped into the term “cell switch command”.</w:t>
      </w:r>
      <w:r>
        <w:rPr>
          <w:lang w:val="en-GB"/>
        </w:rPr>
        <w:t xml:space="preserve"> </w:t>
      </w:r>
    </w:p>
    <w:p w14:paraId="5F5AC0FD" w14:textId="04F64713" w:rsidR="0036013C" w:rsidRDefault="0036013C" w:rsidP="006A3C39">
      <w:pPr>
        <w:rPr>
          <w:lang w:val="en-GB" w:eastAsia="ja-JP"/>
        </w:rPr>
      </w:pPr>
      <w:r>
        <w:rPr>
          <w:lang w:val="en-GB" w:eastAsia="ja-JP"/>
        </w:rPr>
        <w:t>In this contribution, we will discuss the properties of the beam indication.</w:t>
      </w:r>
    </w:p>
    <w:p w14:paraId="0CA84FF3" w14:textId="7FBBB6A4" w:rsidR="00C820A2" w:rsidRDefault="00FC063B" w:rsidP="006A3C39">
      <w:pPr>
        <w:rPr>
          <w:lang w:val="en-GB" w:eastAsia="ja-JP"/>
        </w:rPr>
      </w:pPr>
      <w:r>
        <w:rPr>
          <w:lang w:val="en-GB" w:eastAsia="ja-JP"/>
        </w:rPr>
        <w:t>In RAN1</w:t>
      </w:r>
      <w:r w:rsidR="00C820A2">
        <w:rPr>
          <w:lang w:val="en-GB" w:eastAsia="ja-JP"/>
        </w:rPr>
        <w:t>#110bis-e, the following agreement was reached:</w:t>
      </w:r>
    </w:p>
    <w:p w14:paraId="78A3F2ED" w14:textId="699516D5" w:rsidR="00C820A2" w:rsidRDefault="00C820A2" w:rsidP="006A3C39">
      <w:pPr>
        <w:rPr>
          <w:lang w:val="en-GB" w:eastAsia="ja-JP"/>
        </w:rPr>
      </w:pPr>
      <w:r w:rsidRPr="00C820A2">
        <w:rPr>
          <w:noProof/>
          <w:lang w:val="en-GB" w:eastAsia="ja-JP"/>
        </w:rPr>
        <mc:AlternateContent>
          <mc:Choice Requires="wps">
            <w:drawing>
              <wp:inline distT="0" distB="0" distL="0" distR="0" wp14:anchorId="645235CB" wp14:editId="5CEA3C61">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0DDC608" w14:textId="77777777" w:rsidR="00C820A2" w:rsidRPr="00320151" w:rsidRDefault="00C820A2" w:rsidP="00C820A2">
                            <w:pPr>
                              <w:pStyle w:val="ListParagraph"/>
                              <w:shd w:val="clear" w:color="auto" w:fill="FFFFFF"/>
                              <w:ind w:left="0"/>
                              <w:jc w:val="both"/>
                              <w:rPr>
                                <w:rFonts w:ascii="Times" w:eastAsia="Microsoft YaHei UI" w:hAnsi="Times" w:cs="Times"/>
                                <w:color w:val="000000"/>
                                <w:sz w:val="20"/>
                                <w:szCs w:val="20"/>
                                <w:highlight w:val="green"/>
                              </w:rPr>
                            </w:pPr>
                            <w:r w:rsidRPr="00320151">
                              <w:rPr>
                                <w:rFonts w:ascii="Times" w:eastAsia="Microsoft YaHei UI" w:hAnsi="Times" w:cs="Times"/>
                                <w:color w:val="000000"/>
                                <w:sz w:val="20"/>
                                <w:szCs w:val="20"/>
                                <w:highlight w:val="green"/>
                              </w:rPr>
                              <w:t>Agreement</w:t>
                            </w:r>
                          </w:p>
                          <w:p w14:paraId="7702E89C" w14:textId="77777777" w:rsidR="00C820A2" w:rsidRPr="00FB2B80" w:rsidRDefault="00C820A2" w:rsidP="00C820A2">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Pr="00C820A2"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5235CB"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20DDC608" w14:textId="77777777" w:rsidR="00C820A2" w:rsidRPr="00320151" w:rsidRDefault="00C820A2" w:rsidP="00C820A2">
                      <w:pPr>
                        <w:pStyle w:val="ListParagraph"/>
                        <w:shd w:val="clear" w:color="auto" w:fill="FFFFFF"/>
                        <w:ind w:left="0"/>
                        <w:jc w:val="both"/>
                        <w:rPr>
                          <w:rFonts w:ascii="Times" w:eastAsia="Microsoft YaHei UI" w:hAnsi="Times" w:cs="Times"/>
                          <w:color w:val="000000"/>
                          <w:sz w:val="20"/>
                          <w:szCs w:val="20"/>
                          <w:highlight w:val="green"/>
                        </w:rPr>
                      </w:pPr>
                      <w:r w:rsidRPr="00320151">
                        <w:rPr>
                          <w:rFonts w:ascii="Times" w:eastAsia="Microsoft YaHei UI" w:hAnsi="Times" w:cs="Times"/>
                          <w:color w:val="000000"/>
                          <w:sz w:val="20"/>
                          <w:szCs w:val="20"/>
                          <w:highlight w:val="green"/>
                        </w:rPr>
                        <w:t>Agreement</w:t>
                      </w:r>
                    </w:p>
                    <w:p w14:paraId="7702E89C" w14:textId="77777777" w:rsidR="00C820A2" w:rsidRPr="00FB2B80" w:rsidRDefault="00C820A2" w:rsidP="00C820A2">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Pr="00C820A2"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txbxContent>
                </v:textbox>
                <w10:anchorlock/>
              </v:shape>
            </w:pict>
          </mc:Fallback>
        </mc:AlternateContent>
      </w:r>
    </w:p>
    <w:p w14:paraId="38A8ABE2" w14:textId="6ECEF396" w:rsidR="00923EC6" w:rsidRDefault="00F64CE2" w:rsidP="006A3C39">
      <w:pPr>
        <w:rPr>
          <w:lang w:val="en-GB" w:eastAsia="ja-JP"/>
        </w:rPr>
      </w:pPr>
      <w:r>
        <w:rPr>
          <w:lang w:val="en-GB" w:eastAsia="ja-JP"/>
        </w:rPr>
        <w:t>Scenario 1 would imply that the UE uses the configuration of the source cell for the initial communication with the target cell. This means that the target cell must support the configuration of the source cell, which is true in many cases, and is also the foundation of ICBM. However, LTM must also support cases where the source configuration cannot be supported by the target, or cases where the target configuration is unknown to the source. Hence, we propose</w:t>
      </w:r>
    </w:p>
    <w:p w14:paraId="23817A72" w14:textId="690E4156" w:rsidR="00923EC6" w:rsidRDefault="00923EC6" w:rsidP="00923EC6">
      <w:pPr>
        <w:pStyle w:val="Proposal"/>
        <w:rPr>
          <w:lang w:val="en-GB"/>
        </w:rPr>
      </w:pPr>
      <w:bookmarkStart w:id="5" w:name="_Ref118190939"/>
      <w:bookmarkStart w:id="6" w:name="_Toc118454798"/>
      <w:r>
        <w:rPr>
          <w:lang w:val="en-GB"/>
        </w:rPr>
        <w:t>Support scenario 2</w:t>
      </w:r>
      <w:r w:rsidR="00F64CE2">
        <w:rPr>
          <w:lang w:val="en-GB"/>
        </w:rPr>
        <w:t>: the beam indication is transmitted together with the cell switch command</w:t>
      </w:r>
      <w:r>
        <w:rPr>
          <w:lang w:val="en-GB"/>
        </w:rPr>
        <w:t>.</w:t>
      </w:r>
      <w:bookmarkEnd w:id="5"/>
      <w:bookmarkEnd w:id="6"/>
    </w:p>
    <w:p w14:paraId="1C4C5809" w14:textId="16AAD542" w:rsidR="0033134A" w:rsidRDefault="00F64CE2" w:rsidP="001E677E">
      <w:pPr>
        <w:rPr>
          <w:lang w:val="en-GB" w:eastAsia="ja-JP"/>
        </w:rPr>
      </w:pPr>
      <w:r>
        <w:rPr>
          <w:lang w:val="en-GB" w:eastAsia="ja-JP"/>
        </w:rPr>
        <w:t xml:space="preserve">However, scenario 1 may provide additional </w:t>
      </w:r>
      <w:r w:rsidR="00612881">
        <w:rPr>
          <w:lang w:val="en-GB" w:eastAsia="ja-JP"/>
        </w:rPr>
        <w:t>benefits since the beam indication can be transmitted earlier. The NW could then delay the cell-switch command when measurement reports validate that the UE is under the coverage of the target cell. Scenario 3 is supported by legacy procedures</w:t>
      </w:r>
      <w:r w:rsidR="0033134A">
        <w:rPr>
          <w:lang w:val="en-GB" w:eastAsia="ja-JP"/>
        </w:rPr>
        <w:t>.</w:t>
      </w:r>
    </w:p>
    <w:p w14:paraId="698F36F8" w14:textId="309C4028" w:rsidR="004570D8" w:rsidRDefault="004570D8" w:rsidP="001E677E">
      <w:pPr>
        <w:rPr>
          <w:lang w:val="en-GB" w:eastAsia="ja-JP"/>
        </w:rPr>
      </w:pPr>
      <w:r>
        <w:rPr>
          <w:lang w:val="en-GB" w:eastAsia="ja-JP"/>
        </w:rPr>
        <w:t xml:space="preserve">Based on </w:t>
      </w:r>
      <w:r>
        <w:rPr>
          <w:lang w:val="en-GB" w:eastAsia="ja-JP"/>
        </w:rPr>
        <w:fldChar w:fldCharType="begin"/>
      </w:r>
      <w:r>
        <w:rPr>
          <w:lang w:val="en-GB" w:eastAsia="ja-JP"/>
        </w:rPr>
        <w:instrText xml:space="preserve"> REF _Ref118190939 \r \h </w:instrText>
      </w:r>
      <w:r>
        <w:rPr>
          <w:lang w:val="en-GB" w:eastAsia="ja-JP"/>
        </w:rPr>
      </w:r>
      <w:r>
        <w:rPr>
          <w:lang w:val="en-GB" w:eastAsia="ja-JP"/>
        </w:rPr>
        <w:fldChar w:fldCharType="separate"/>
      </w:r>
      <w:r w:rsidR="007B562A">
        <w:rPr>
          <w:lang w:val="en-GB" w:eastAsia="ja-JP"/>
        </w:rPr>
        <w:t>Proposal 1</w:t>
      </w:r>
      <w:r>
        <w:rPr>
          <w:lang w:val="en-GB" w:eastAsia="ja-JP"/>
        </w:rPr>
        <w:fldChar w:fldCharType="end"/>
      </w:r>
      <w:r>
        <w:rPr>
          <w:lang w:val="en-GB" w:eastAsia="ja-JP"/>
        </w:rPr>
        <w:t>, we design a solution where all the relevant information is included in the beam switch command. How to support scenario 1 can be discussed once all the relevant information has been identified.</w:t>
      </w:r>
    </w:p>
    <w:p w14:paraId="6B942207" w14:textId="3CC8AEDB" w:rsidR="0033134A" w:rsidRDefault="0033134A" w:rsidP="0033134A">
      <w:pPr>
        <w:rPr>
          <w:lang w:val="en-GB"/>
        </w:rPr>
      </w:pPr>
      <w:r>
        <w:rPr>
          <w:lang w:val="en-GB"/>
        </w:rPr>
        <w:t>In RAN1#110bis-e, RAN1 made the following agreement:</w:t>
      </w:r>
    </w:p>
    <w:p w14:paraId="2CEA5A89" w14:textId="77777777" w:rsidR="0033134A" w:rsidRDefault="0033134A" w:rsidP="0033134A">
      <w:pPr>
        <w:rPr>
          <w:lang w:val="en-GB"/>
        </w:rPr>
      </w:pPr>
      <w:r w:rsidRPr="00EC6D32">
        <w:rPr>
          <w:noProof/>
          <w:lang w:val="en-GB"/>
        </w:rPr>
        <w:lastRenderedPageBreak/>
        <mc:AlternateContent>
          <mc:Choice Requires="wps">
            <w:drawing>
              <wp:inline distT="0" distB="0" distL="0" distR="0" wp14:anchorId="0A64889D" wp14:editId="4DD9B1CC">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4DE9C51" w14:textId="77777777" w:rsidR="0033134A" w:rsidRPr="00320151" w:rsidRDefault="0033134A" w:rsidP="0033134A">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3B1F7CC2" w14:textId="77777777" w:rsidR="0033134A" w:rsidRPr="00320151" w:rsidRDefault="0033134A" w:rsidP="0033134A">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RAN1 to further study if the beam indication of candidate cell(s) L1/L2 mobility should be designed for a specific TCI framework below, and their potential RAN1 spec impact. </w:t>
                            </w:r>
                          </w:p>
                          <w:p w14:paraId="4201F432" w14:textId="77777777" w:rsidR="0033134A" w:rsidRPr="00320151"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Option A:</w:t>
                            </w:r>
                            <w:r w:rsidRPr="00320151">
                              <w:rPr>
                                <w:rFonts w:ascii="Times" w:hAnsi="Times" w:cs="Times"/>
                                <w:sz w:val="20"/>
                                <w:szCs w:val="20"/>
                              </w:rPr>
                              <w:t>  Beam indication for Rel-18 L1/L2 mobility is designed based on Rel-17 TCI framework mechanism</w:t>
                            </w:r>
                          </w:p>
                          <w:p w14:paraId="6001F435" w14:textId="77777777" w:rsidR="0033134A" w:rsidRPr="00320151"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 xml:space="preserve">Option B: </w:t>
                            </w:r>
                            <w:r w:rsidRPr="00320151">
                              <w:rPr>
                                <w:rFonts w:ascii="Times" w:hAnsi="Times" w:cs="Times"/>
                                <w:sz w:val="20"/>
                                <w:szCs w:val="20"/>
                              </w:rPr>
                              <w:t xml:space="preserve">Beam indication for Rel-18 L1/L2 mobility is designed based on Rel-15 TCI framework mechanism </w:t>
                            </w:r>
                          </w:p>
                          <w:p w14:paraId="4602917C" w14:textId="77777777" w:rsidR="0033134A" w:rsidRPr="00EC6D32"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 xml:space="preserve">Option C: </w:t>
                            </w:r>
                            <w:r w:rsidRPr="00320151">
                              <w:rPr>
                                <w:rFonts w:ascii="Times" w:hAnsi="Times" w:cs="Times"/>
                                <w:sz w:val="20"/>
                                <w:szCs w:val="20"/>
                              </w:rPr>
                              <w:t xml:space="preserve">Beam indication for Rel-18 L1/L2 mobility is designed based on both Rel-15 and Rel-17 TCI framework mechanisms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64889D" id="Text Box 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14DE9C51" w14:textId="77777777" w:rsidR="0033134A" w:rsidRPr="00320151" w:rsidRDefault="0033134A" w:rsidP="0033134A">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3B1F7CC2" w14:textId="77777777" w:rsidR="0033134A" w:rsidRPr="00320151" w:rsidRDefault="0033134A" w:rsidP="0033134A">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RAN1 to further study if the beam indication of candidate cell(s) L1/L2 mobility should be designed for a specific TCI framework below, and their potential RAN1 spec impact. </w:t>
                      </w:r>
                    </w:p>
                    <w:p w14:paraId="4201F432" w14:textId="77777777" w:rsidR="0033134A" w:rsidRPr="00320151"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Option A:</w:t>
                      </w:r>
                      <w:r w:rsidRPr="00320151">
                        <w:rPr>
                          <w:rFonts w:ascii="Times" w:hAnsi="Times" w:cs="Times"/>
                          <w:sz w:val="20"/>
                          <w:szCs w:val="20"/>
                        </w:rPr>
                        <w:t>  Beam indication for Rel-18 L1/L2 mobility is designed based on Rel-17 TCI framework mechanism</w:t>
                      </w:r>
                    </w:p>
                    <w:p w14:paraId="6001F435" w14:textId="77777777" w:rsidR="0033134A" w:rsidRPr="00320151"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 xml:space="preserve">Option B: </w:t>
                      </w:r>
                      <w:r w:rsidRPr="00320151">
                        <w:rPr>
                          <w:rFonts w:ascii="Times" w:hAnsi="Times" w:cs="Times"/>
                          <w:sz w:val="20"/>
                          <w:szCs w:val="20"/>
                        </w:rPr>
                        <w:t xml:space="preserve">Beam indication for Rel-18 L1/L2 mobility is designed based on Rel-15 TCI framework mechanism </w:t>
                      </w:r>
                    </w:p>
                    <w:p w14:paraId="4602917C" w14:textId="77777777" w:rsidR="0033134A" w:rsidRPr="00EC6D32" w:rsidRDefault="0033134A" w:rsidP="0033134A">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b/>
                          <w:bCs/>
                          <w:sz w:val="20"/>
                          <w:szCs w:val="20"/>
                        </w:rPr>
                        <w:t xml:space="preserve">Option C: </w:t>
                      </w:r>
                      <w:r w:rsidRPr="00320151">
                        <w:rPr>
                          <w:rFonts w:ascii="Times" w:hAnsi="Times" w:cs="Times"/>
                          <w:sz w:val="20"/>
                          <w:szCs w:val="20"/>
                        </w:rPr>
                        <w:t xml:space="preserve">Beam indication for Rel-18 L1/L2 mobility is designed based on both Rel-15 and Rel-17 TCI framework mechanisms </w:t>
                      </w:r>
                    </w:p>
                  </w:txbxContent>
                </v:textbox>
                <w10:anchorlock/>
              </v:shape>
            </w:pict>
          </mc:Fallback>
        </mc:AlternateContent>
      </w:r>
    </w:p>
    <w:p w14:paraId="359FF424" w14:textId="77777777" w:rsidR="0033134A" w:rsidRDefault="0033134A" w:rsidP="0033134A">
      <w:pPr>
        <w:rPr>
          <w:lang w:val="en-GB"/>
        </w:rPr>
      </w:pPr>
      <w:r>
        <w:rPr>
          <w:lang w:val="en-GB"/>
        </w:rPr>
        <w:t>If the beam indication would contain a TCI state, the Rel-17 TCI framework would provide a more compact representation, since one TCI state contains the QCL information, and the UL properties (spatial Tx filter, power control parameters) that are needed to start the communication in the target cell. If the Rel-15 TCI framework is used in a corresponding way, the information that needs to be provided to the UE is more scattered.</w:t>
      </w:r>
    </w:p>
    <w:p w14:paraId="5465CFA9" w14:textId="17B59955" w:rsidR="0033134A" w:rsidRDefault="0033134A" w:rsidP="0033134A">
      <w:pPr>
        <w:rPr>
          <w:lang w:val="en-GB"/>
        </w:rPr>
      </w:pPr>
      <w:r>
        <w:rPr>
          <w:lang w:val="en-GB"/>
        </w:rPr>
        <w:t xml:space="preserve">On the other hand, it would be beneficial if </w:t>
      </w:r>
      <w:r w:rsidR="00AE217F">
        <w:rPr>
          <w:lang w:val="en-GB"/>
        </w:rPr>
        <w:t>LTM</w:t>
      </w:r>
      <w:r>
        <w:rPr>
          <w:lang w:val="en-GB"/>
        </w:rPr>
        <w:t xml:space="preserve"> would work both for the Rel-15 and the Rel-17 framework:  the functionality would become easier to implement and deploy. We note that the Rel-15 handover functionality is independent of the TCI framework used, since it relies on reference signals directly, without using the TCI framework as a proxy:</w:t>
      </w:r>
    </w:p>
    <w:p w14:paraId="60DC6447" w14:textId="77777777" w:rsidR="0033134A" w:rsidRDefault="0033134A" w:rsidP="0033134A">
      <w:pPr>
        <w:pStyle w:val="Observation"/>
        <w:rPr>
          <w:lang w:val="en-GB"/>
        </w:rPr>
      </w:pPr>
      <w:bookmarkStart w:id="7" w:name="_Toc118454791"/>
      <w:r>
        <w:rPr>
          <w:lang w:val="en-GB"/>
        </w:rPr>
        <w:t>The legacy handover functionality relies on reference signals directly to communicate with the new cell.</w:t>
      </w:r>
      <w:bookmarkEnd w:id="7"/>
    </w:p>
    <w:p w14:paraId="01FFE87D" w14:textId="21E5BBFD" w:rsidR="0033134A" w:rsidRDefault="0033134A" w:rsidP="0033134A">
      <w:pPr>
        <w:rPr>
          <w:lang w:val="en-GB"/>
        </w:rPr>
      </w:pPr>
      <w:r>
        <w:rPr>
          <w:lang w:val="en-GB"/>
        </w:rPr>
        <w:t>A solution that relies directly on reference signals is attractive, since it does not require that the serving DU knows the TCI state configuration of the target DU. Based on this, we propose</w:t>
      </w:r>
    </w:p>
    <w:p w14:paraId="1448FF78" w14:textId="6D0F87F7" w:rsidR="0036013C" w:rsidRPr="0036013C" w:rsidRDefault="0036013C" w:rsidP="0033134A">
      <w:pPr>
        <w:pStyle w:val="Proposal"/>
        <w:rPr>
          <w:lang w:val="en-GB"/>
        </w:rPr>
      </w:pPr>
      <w:bookmarkStart w:id="8" w:name="_Toc118454799"/>
      <w:bookmarkStart w:id="9" w:name="_Ref118191138"/>
      <w:r>
        <w:rPr>
          <w:lang w:val="en-GB"/>
        </w:rPr>
        <w:t>The beam indication contains an explicit identifier of a reference signal, which is used to aid DL reception and UL transmission.</w:t>
      </w:r>
      <w:bookmarkEnd w:id="8"/>
      <w:r>
        <w:rPr>
          <w:lang w:val="en-GB"/>
        </w:rPr>
        <w:t xml:space="preserve"> </w:t>
      </w:r>
      <w:bookmarkEnd w:id="9"/>
    </w:p>
    <w:p w14:paraId="3936E7B9" w14:textId="22E86AC5" w:rsidR="0033134A" w:rsidRDefault="0036013C" w:rsidP="0033134A">
      <w:pPr>
        <w:rPr>
          <w:lang w:val="en-GB"/>
        </w:rPr>
      </w:pPr>
      <w:r>
        <w:rPr>
          <w:lang w:val="en-GB"/>
        </w:rPr>
        <w:t xml:space="preserve">Hence, the beam indication does not contain a TCI state identifier. This </w:t>
      </w:r>
      <w:r w:rsidR="0033134A">
        <w:rPr>
          <w:lang w:val="en-GB"/>
        </w:rPr>
        <w:t>solution would be agnostic to the TCI framework, and hence we prefer Option C.</w:t>
      </w:r>
      <w:r w:rsidR="004570D8">
        <w:rPr>
          <w:lang w:val="en-GB"/>
        </w:rPr>
        <w:t xml:space="preserve"> </w:t>
      </w:r>
      <w:r w:rsidR="00EE6FD6">
        <w:rPr>
          <w:lang w:val="en-GB"/>
        </w:rPr>
        <w:t xml:space="preserve">Of course, this </w:t>
      </w:r>
      <w:r w:rsidR="00A74B87">
        <w:rPr>
          <w:lang w:val="en-GB"/>
        </w:rPr>
        <w:t>removes the need for the NW to configure TCI states of candidate cells.</w:t>
      </w:r>
    </w:p>
    <w:p w14:paraId="06C1BF01" w14:textId="59B688EC" w:rsidR="008C31BB" w:rsidRDefault="008C31BB" w:rsidP="0033134A">
      <w:pPr>
        <w:rPr>
          <w:lang w:val="en-GB"/>
        </w:rPr>
      </w:pPr>
      <w:r>
        <w:rPr>
          <w:lang w:val="en-GB"/>
        </w:rPr>
        <w:t xml:space="preserve">The details on how the UE would use the reference signal can be further discussed. </w:t>
      </w:r>
    </w:p>
    <w:p w14:paraId="3699F9C9" w14:textId="029FE674" w:rsidR="00F32AD9" w:rsidRDefault="004570D8" w:rsidP="00D1784F">
      <w:pPr>
        <w:rPr>
          <w:lang w:val="en-GB" w:eastAsia="ja-JP"/>
        </w:rPr>
      </w:pPr>
      <w:r>
        <w:rPr>
          <w:lang w:val="en-GB" w:eastAsia="ja-JP"/>
        </w:rPr>
        <w:t xml:space="preserve">As mentioned in </w:t>
      </w:r>
      <w:r>
        <w:rPr>
          <w:lang w:val="en-GB" w:eastAsia="ja-JP"/>
        </w:rPr>
        <w:fldChar w:fldCharType="begin"/>
      </w:r>
      <w:r>
        <w:rPr>
          <w:lang w:val="en-GB" w:eastAsia="ja-JP"/>
        </w:rPr>
        <w:instrText xml:space="preserve"> REF _Ref118191138 \r \h </w:instrText>
      </w:r>
      <w:r>
        <w:rPr>
          <w:lang w:val="en-GB" w:eastAsia="ja-JP"/>
        </w:rPr>
      </w:r>
      <w:r>
        <w:rPr>
          <w:lang w:val="en-GB" w:eastAsia="ja-JP"/>
        </w:rPr>
        <w:fldChar w:fldCharType="separate"/>
      </w:r>
      <w:r w:rsidR="007B562A">
        <w:rPr>
          <w:lang w:val="en-GB" w:eastAsia="ja-JP"/>
        </w:rPr>
        <w:t>Proposal 2</w:t>
      </w:r>
      <w:r>
        <w:rPr>
          <w:lang w:val="en-GB" w:eastAsia="ja-JP"/>
        </w:rPr>
        <w:fldChar w:fldCharType="end"/>
      </w:r>
      <w:r>
        <w:rPr>
          <w:lang w:val="en-GB" w:eastAsia="ja-JP"/>
        </w:rPr>
        <w:t xml:space="preserve">, the beam indication would be provided by a reference signal, i.e., an SSB oof the target cell. By providing an SSB as a QCL source, the communication in the target cell can be kickstarted. </w:t>
      </w:r>
      <w:r>
        <w:rPr>
          <w:lang w:val="en-GB"/>
        </w:rPr>
        <w:t xml:space="preserve">This SSB would also be used as pathloss reference signal, as a DL timing reference, and to determine the spatial Tx filter in FR2. </w:t>
      </w:r>
      <w:r w:rsidR="00D1784F">
        <w:rPr>
          <w:lang w:val="en-GB" w:eastAsia="ja-JP"/>
        </w:rPr>
        <w:t xml:space="preserve">Since the candidate configuration index most likely points to multiple serving cells, it is not straightforward to derive the beam indication from the candidate configurations, which motivates the separate QCL indication introduced in </w:t>
      </w:r>
      <w:r w:rsidR="00D1784F">
        <w:rPr>
          <w:lang w:val="en-GB" w:eastAsia="ja-JP"/>
        </w:rPr>
        <w:fldChar w:fldCharType="begin"/>
      </w:r>
      <w:r w:rsidR="00D1784F">
        <w:rPr>
          <w:lang w:val="en-GB" w:eastAsia="ja-JP"/>
        </w:rPr>
        <w:instrText xml:space="preserve"> REF _Ref118191138 \r \h </w:instrText>
      </w:r>
      <w:r w:rsidR="00D1784F">
        <w:rPr>
          <w:lang w:val="en-GB" w:eastAsia="ja-JP"/>
        </w:rPr>
      </w:r>
      <w:r w:rsidR="00D1784F">
        <w:rPr>
          <w:lang w:val="en-GB" w:eastAsia="ja-JP"/>
        </w:rPr>
        <w:fldChar w:fldCharType="separate"/>
      </w:r>
      <w:r w:rsidR="007B562A">
        <w:rPr>
          <w:lang w:val="en-GB" w:eastAsia="ja-JP"/>
        </w:rPr>
        <w:t>Proposal 2</w:t>
      </w:r>
      <w:r w:rsidR="00D1784F">
        <w:rPr>
          <w:lang w:val="en-GB" w:eastAsia="ja-JP"/>
        </w:rPr>
        <w:fldChar w:fldCharType="end"/>
      </w:r>
      <w:r w:rsidR="00D1784F">
        <w:rPr>
          <w:lang w:val="en-GB" w:eastAsia="ja-JP"/>
        </w:rPr>
        <w:t>.</w:t>
      </w:r>
    </w:p>
    <w:p w14:paraId="3696B1F4" w14:textId="76383F58" w:rsidR="002419E5" w:rsidRDefault="002419E5" w:rsidP="006A3C39">
      <w:pPr>
        <w:rPr>
          <w:lang w:val="en-GB" w:eastAsia="ja-JP"/>
        </w:rPr>
      </w:pPr>
      <w:r>
        <w:rPr>
          <w:lang w:val="en-GB" w:eastAsia="ja-JP"/>
        </w:rPr>
        <w:t xml:space="preserve">As discussed in section 2, the UL synchronization time must be reduced. In other words, the time it takes to provide the UE with a valid TA must be shortened, and this is discussed in more detail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7B562A">
        <w:rPr>
          <w:lang w:val="en-GB" w:eastAsia="ja-JP"/>
        </w:rPr>
        <w:t>[3]</w:t>
      </w:r>
      <w:r>
        <w:rPr>
          <w:lang w:val="en-GB" w:eastAsia="ja-JP"/>
        </w:rPr>
        <w:fldChar w:fldCharType="end"/>
      </w:r>
      <w:r>
        <w:rPr>
          <w:lang w:val="en-GB" w:eastAsia="ja-JP"/>
        </w:rPr>
        <w:t xml:space="preserve">. Many of the methods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7B562A">
        <w:rPr>
          <w:lang w:val="en-GB" w:eastAsia="ja-JP"/>
        </w:rPr>
        <w:t>[3]</w:t>
      </w:r>
      <w:r>
        <w:rPr>
          <w:lang w:val="en-GB" w:eastAsia="ja-JP"/>
        </w:rPr>
        <w:fldChar w:fldCharType="end"/>
      </w:r>
      <w:r>
        <w:rPr>
          <w:lang w:val="en-GB" w:eastAsia="ja-JP"/>
        </w:rPr>
        <w:t xml:space="preserve"> imply that the NW knows the correct TA before the beam indication is sent, and includes that in the beam indication:</w:t>
      </w:r>
    </w:p>
    <w:p w14:paraId="7C4B8CAF" w14:textId="6E2A9759" w:rsidR="002419E5" w:rsidRDefault="002419E5" w:rsidP="002419E5">
      <w:pPr>
        <w:pStyle w:val="Proposal"/>
        <w:rPr>
          <w:lang w:val="en-GB"/>
        </w:rPr>
      </w:pPr>
      <w:bookmarkStart w:id="10" w:name="_Toc118454800"/>
      <w:r>
        <w:rPr>
          <w:lang w:val="en-GB"/>
        </w:rPr>
        <w:t>The beam indication contains a TA value for the target cell.</w:t>
      </w:r>
      <w:bookmarkEnd w:id="10"/>
    </w:p>
    <w:p w14:paraId="00A886EF" w14:textId="6EEF8B72" w:rsidR="002419E5" w:rsidRDefault="002419E5" w:rsidP="006A3C39">
      <w:pPr>
        <w:rPr>
          <w:lang w:val="en-GB" w:eastAsia="ja-JP"/>
        </w:rPr>
      </w:pPr>
      <w:r>
        <w:rPr>
          <w:lang w:val="en-GB" w:eastAsia="ja-JP"/>
        </w:rPr>
        <w:t>How the NW determines the TA value is a separate issue</w:t>
      </w:r>
      <w:r w:rsidR="00A74B87">
        <w:rPr>
          <w:lang w:val="en-GB" w:eastAsia="ja-JP"/>
        </w:rPr>
        <w:t xml:space="preserve">, which is discussed in detail in </w:t>
      </w:r>
      <w:r w:rsidR="00A74B87">
        <w:rPr>
          <w:lang w:val="en-GB" w:eastAsia="ja-JP"/>
        </w:rPr>
        <w:fldChar w:fldCharType="begin"/>
      </w:r>
      <w:r w:rsidR="00A74B87">
        <w:rPr>
          <w:lang w:val="en-GB" w:eastAsia="ja-JP"/>
        </w:rPr>
        <w:instrText xml:space="preserve"> REF _Ref114839978 \r \h </w:instrText>
      </w:r>
      <w:r w:rsidR="00A74B87">
        <w:rPr>
          <w:lang w:val="en-GB" w:eastAsia="ja-JP"/>
        </w:rPr>
      </w:r>
      <w:r w:rsidR="00A74B87">
        <w:rPr>
          <w:lang w:val="en-GB" w:eastAsia="ja-JP"/>
        </w:rPr>
        <w:fldChar w:fldCharType="separate"/>
      </w:r>
      <w:r w:rsidR="00A74B87">
        <w:rPr>
          <w:lang w:val="en-GB" w:eastAsia="ja-JP"/>
        </w:rPr>
        <w:t>[3]</w:t>
      </w:r>
      <w:r w:rsidR="00A74B87">
        <w:rPr>
          <w:lang w:val="en-GB" w:eastAsia="ja-JP"/>
        </w:rPr>
        <w:fldChar w:fldCharType="end"/>
      </w:r>
      <w:r>
        <w:rPr>
          <w:lang w:val="en-GB" w:eastAsia="ja-JP"/>
        </w:rPr>
        <w:t>.</w:t>
      </w:r>
    </w:p>
    <w:p w14:paraId="49E2CD8B" w14:textId="1314881E" w:rsidR="00C13327" w:rsidRDefault="00C13327" w:rsidP="006A3C39">
      <w:pPr>
        <w:rPr>
          <w:lang w:val="en-GB" w:eastAsia="ja-JP"/>
        </w:rPr>
      </w:pPr>
      <w:r>
        <w:rPr>
          <w:lang w:val="en-GB" w:eastAsia="ja-JP"/>
        </w:rPr>
        <w:t xml:space="preserve">Finally, it may be beneficial to also include an explicit BWP ID in the beam indication. The main use case for BWPs is UE power saving, where the NW configures the UE with multiple BWPs, and switches the UE between the normal BWP and power-saving BWP. It would be beneficial if the UE could continue to use a BWP with the same properties before and after the </w:t>
      </w:r>
      <w:r w:rsidR="00AE217F">
        <w:rPr>
          <w:lang w:val="en-GB" w:eastAsia="ja-JP"/>
        </w:rPr>
        <w:t>LTM</w:t>
      </w:r>
      <w:r>
        <w:rPr>
          <w:lang w:val="en-GB" w:eastAsia="ja-JP"/>
        </w:rPr>
        <w:t xml:space="preserve"> event:</w:t>
      </w:r>
    </w:p>
    <w:p w14:paraId="5B9636EF" w14:textId="67A4E303" w:rsidR="00C13327" w:rsidRPr="00C13327" w:rsidRDefault="00C13327" w:rsidP="006A3C39">
      <w:pPr>
        <w:pStyle w:val="Proposal"/>
        <w:rPr>
          <w:lang w:val="en-GB"/>
        </w:rPr>
      </w:pPr>
      <w:bookmarkStart w:id="11" w:name="_Ref115081468"/>
      <w:bookmarkStart w:id="12" w:name="_Toc118454801"/>
      <w:r>
        <w:rPr>
          <w:lang w:val="en-GB"/>
        </w:rPr>
        <w:t xml:space="preserve">The beam indication contains ID </w:t>
      </w:r>
      <w:r w:rsidR="00D5419C">
        <w:rPr>
          <w:lang w:val="en-GB"/>
        </w:rPr>
        <w:t>o</w:t>
      </w:r>
      <w:r>
        <w:rPr>
          <w:lang w:val="en-GB"/>
        </w:rPr>
        <w:t>f the active DL and UL BWPs for the target cells.</w:t>
      </w:r>
      <w:bookmarkEnd w:id="11"/>
      <w:bookmarkEnd w:id="12"/>
    </w:p>
    <w:p w14:paraId="288D148D" w14:textId="2A665E5F" w:rsidR="00D5419C" w:rsidRDefault="00D5419C" w:rsidP="006A3C39">
      <w:pPr>
        <w:rPr>
          <w:lang w:val="en-GB" w:eastAsia="ja-JP"/>
        </w:rPr>
      </w:pPr>
      <w:r>
        <w:rPr>
          <w:lang w:val="en-GB" w:eastAsia="ja-JP"/>
        </w:rPr>
        <w:t>The content of the</w:t>
      </w:r>
      <w:r w:rsidR="008C31BB">
        <w:rPr>
          <w:lang w:val="en-GB" w:eastAsia="ja-JP"/>
        </w:rPr>
        <w:t xml:space="preserve"> LTM mobility trigger information</w:t>
      </w:r>
      <w:r w:rsidRPr="00936C5E">
        <w:rPr>
          <w:lang w:val="en-GB" w:eastAsia="ja-JP"/>
        </w:rPr>
        <w:t xml:space="preserve"> </w:t>
      </w:r>
      <w:r>
        <w:rPr>
          <w:lang w:val="en-GB" w:eastAsia="ja-JP"/>
        </w:rPr>
        <w:t xml:space="preserve">command is summarized in </w:t>
      </w:r>
      <w:r>
        <w:rPr>
          <w:lang w:val="en-GB" w:eastAsia="ja-JP"/>
        </w:rPr>
        <w:fldChar w:fldCharType="begin"/>
      </w:r>
      <w:r>
        <w:rPr>
          <w:lang w:val="en-GB" w:eastAsia="ja-JP"/>
        </w:rPr>
        <w:instrText xml:space="preserve"> REF _Ref118198730 \h </w:instrText>
      </w:r>
      <w:r>
        <w:rPr>
          <w:lang w:val="en-GB" w:eastAsia="ja-JP"/>
        </w:rPr>
      </w:r>
      <w:r>
        <w:rPr>
          <w:lang w:val="en-GB" w:eastAsia="ja-JP"/>
        </w:rPr>
        <w:fldChar w:fldCharType="separate"/>
      </w:r>
      <w:r w:rsidR="007B562A">
        <w:t xml:space="preserve">Table </w:t>
      </w:r>
      <w:r w:rsidR="007B562A">
        <w:rPr>
          <w:noProof/>
        </w:rPr>
        <w:t>1</w:t>
      </w:r>
      <w:r>
        <w:rPr>
          <w:lang w:val="en-GB" w:eastAsia="ja-JP"/>
        </w:rPr>
        <w:fldChar w:fldCharType="end"/>
      </w:r>
      <w:r>
        <w:rPr>
          <w:lang w:val="en-GB" w:eastAsia="ja-JP"/>
        </w:rPr>
        <w:t>.</w:t>
      </w:r>
    </w:p>
    <w:tbl>
      <w:tblPr>
        <w:tblStyle w:val="GridTable4-Accent3"/>
        <w:tblW w:w="0" w:type="auto"/>
        <w:jc w:val="center"/>
        <w:tblLook w:val="04A0" w:firstRow="1" w:lastRow="0" w:firstColumn="1" w:lastColumn="0" w:noHBand="0" w:noVBand="1"/>
      </w:tblPr>
      <w:tblGrid>
        <w:gridCol w:w="2405"/>
        <w:gridCol w:w="2835"/>
      </w:tblGrid>
      <w:tr w:rsidR="008C31BB" w14:paraId="0CA6A3E7" w14:textId="77777777" w:rsidTr="009161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70BE8218" w14:textId="0A64869C" w:rsidR="008C31BB" w:rsidRDefault="008C31BB" w:rsidP="00D5419C">
            <w:pPr>
              <w:pStyle w:val="TH"/>
              <w:jc w:val="left"/>
            </w:pPr>
            <w:r>
              <w:lastRenderedPageBreak/>
              <w:t>Information</w:t>
            </w:r>
          </w:p>
        </w:tc>
        <w:tc>
          <w:tcPr>
            <w:tcW w:w="2835" w:type="dxa"/>
          </w:tcPr>
          <w:p w14:paraId="5791BA58" w14:textId="1096BF70" w:rsidR="008C31BB" w:rsidRDefault="008C31BB" w:rsidP="00D5419C">
            <w:pPr>
              <w:pStyle w:val="TH"/>
              <w:jc w:val="left"/>
              <w:cnfStyle w:val="100000000000" w:firstRow="1" w:lastRow="0" w:firstColumn="0" w:lastColumn="0" w:oddVBand="0" w:evenVBand="0" w:oddHBand="0" w:evenHBand="0" w:firstRowFirstColumn="0" w:firstRowLastColumn="0" w:lastRowFirstColumn="0" w:lastRowLastColumn="0"/>
            </w:pPr>
            <w:r>
              <w:t>Number of bits</w:t>
            </w:r>
          </w:p>
        </w:tc>
      </w:tr>
      <w:tr w:rsidR="008C31BB" w14:paraId="42F6D49E" w14:textId="77777777" w:rsidTr="009161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6FEA97E7" w14:textId="3E8EA6CC" w:rsidR="008C31BB" w:rsidRPr="008C31BB" w:rsidRDefault="008C31BB" w:rsidP="00D5419C">
            <w:pPr>
              <w:pStyle w:val="TH"/>
              <w:jc w:val="left"/>
              <w:rPr>
                <w:lang w:val="en-US"/>
              </w:rPr>
            </w:pPr>
            <w:r>
              <w:rPr>
                <w:lang w:val="en-US"/>
              </w:rPr>
              <w:t>Cell-switch command</w:t>
            </w:r>
          </w:p>
        </w:tc>
        <w:tc>
          <w:tcPr>
            <w:tcW w:w="2835" w:type="dxa"/>
          </w:tcPr>
          <w:p w14:paraId="15D26198" w14:textId="480C31D3" w:rsidR="008C31BB" w:rsidRPr="00936C5E" w:rsidRDefault="008C31BB" w:rsidP="00D5419C">
            <w:pPr>
              <w:pStyle w:val="TH"/>
              <w:jc w:val="left"/>
              <w:cnfStyle w:val="000000100000" w:firstRow="0" w:lastRow="0" w:firstColumn="0" w:lastColumn="0" w:oddVBand="0" w:evenVBand="0" w:oddHBand="1" w:evenHBand="0" w:firstRowFirstColumn="0" w:firstRowLastColumn="0" w:lastRowFirstColumn="0" w:lastRowLastColumn="0"/>
              <w:rPr>
                <w:lang w:val="en-US"/>
              </w:rPr>
            </w:pPr>
            <w:r>
              <w:rPr>
                <w:lang w:val="en-US"/>
              </w:rPr>
              <w:t>10</w:t>
            </w:r>
            <w:r>
              <w:t>?</w:t>
            </w:r>
          </w:p>
        </w:tc>
      </w:tr>
      <w:tr w:rsidR="008C31BB" w14:paraId="1D48D059" w14:textId="77777777" w:rsidTr="00916194">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1247876B" w14:textId="239AAFD9" w:rsidR="008C31BB" w:rsidRPr="008C31BB" w:rsidRDefault="008C31BB" w:rsidP="00D5419C">
            <w:pPr>
              <w:pStyle w:val="TH"/>
              <w:jc w:val="left"/>
              <w:rPr>
                <w:lang w:val="en-US"/>
              </w:rPr>
            </w:pPr>
            <w:r>
              <w:t>RS identifier</w:t>
            </w:r>
            <w:r>
              <w:rPr>
                <w:lang w:val="en-US"/>
              </w:rPr>
              <w:t>(s)</w:t>
            </w:r>
          </w:p>
        </w:tc>
        <w:tc>
          <w:tcPr>
            <w:tcW w:w="2835" w:type="dxa"/>
          </w:tcPr>
          <w:p w14:paraId="5D22DB6D" w14:textId="66785EAE" w:rsidR="008C31BB" w:rsidRPr="008C31BB" w:rsidRDefault="008C31BB" w:rsidP="00D5419C">
            <w:pPr>
              <w:pStyle w:val="TH"/>
              <w:jc w:val="left"/>
              <w:cnfStyle w:val="000000000000" w:firstRow="0" w:lastRow="0" w:firstColumn="0" w:lastColumn="0" w:oddVBand="0" w:evenVBand="0" w:oddHBand="0" w:evenHBand="0" w:firstRowFirstColumn="0" w:firstRowLastColumn="0" w:lastRowFirstColumn="0" w:lastRowLastColumn="0"/>
              <w:rPr>
                <w:lang w:val="en-US"/>
              </w:rPr>
            </w:pPr>
            <w:r>
              <w:t xml:space="preserve">6 </w:t>
            </w:r>
            <w:r>
              <w:rPr>
                <w:lang w:val="en-US"/>
              </w:rPr>
              <w:t>(</w:t>
            </w:r>
            <w:r>
              <w:t>per serving cell?)</w:t>
            </w:r>
          </w:p>
        </w:tc>
      </w:tr>
      <w:tr w:rsidR="008C31BB" w14:paraId="07EF5441" w14:textId="77777777" w:rsidTr="009161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0D6DA174" w14:textId="296D77CE" w:rsidR="008C31BB" w:rsidRDefault="008C31BB" w:rsidP="00D5419C">
            <w:pPr>
              <w:pStyle w:val="TH"/>
              <w:jc w:val="left"/>
            </w:pPr>
            <w:r>
              <w:t>TA</w:t>
            </w:r>
          </w:p>
        </w:tc>
        <w:tc>
          <w:tcPr>
            <w:tcW w:w="2835" w:type="dxa"/>
          </w:tcPr>
          <w:p w14:paraId="41D79EAE" w14:textId="5872111A" w:rsidR="008C31BB" w:rsidRDefault="008C31BB" w:rsidP="00D5419C">
            <w:pPr>
              <w:pStyle w:val="TH"/>
              <w:jc w:val="left"/>
              <w:cnfStyle w:val="000000100000" w:firstRow="0" w:lastRow="0" w:firstColumn="0" w:lastColumn="0" w:oddVBand="0" w:evenVBand="0" w:oddHBand="1" w:evenHBand="0" w:firstRowFirstColumn="0" w:firstRowLastColumn="0" w:lastRowFirstColumn="0" w:lastRowLastColumn="0"/>
            </w:pPr>
            <w:r>
              <w:t>12</w:t>
            </w:r>
          </w:p>
        </w:tc>
      </w:tr>
      <w:tr w:rsidR="008C31BB" w14:paraId="6EBC37B1" w14:textId="77777777" w:rsidTr="00916194">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5DCCAA2D" w14:textId="1E296EDE" w:rsidR="008C31BB" w:rsidRDefault="008C31BB" w:rsidP="00D5419C">
            <w:pPr>
              <w:pStyle w:val="TH"/>
              <w:jc w:val="left"/>
            </w:pPr>
            <w:r>
              <w:t>BWP IDs</w:t>
            </w:r>
          </w:p>
        </w:tc>
        <w:tc>
          <w:tcPr>
            <w:tcW w:w="2835" w:type="dxa"/>
          </w:tcPr>
          <w:p w14:paraId="0FA958B1" w14:textId="0AFD35BE" w:rsidR="008C31BB" w:rsidRPr="008C31BB" w:rsidRDefault="008C31BB" w:rsidP="00D5419C">
            <w:pPr>
              <w:pStyle w:val="TH"/>
              <w:jc w:val="left"/>
              <w:cnfStyle w:val="000000000000" w:firstRow="0" w:lastRow="0" w:firstColumn="0" w:lastColumn="0" w:oddVBand="0" w:evenVBand="0" w:oddHBand="0" w:evenHBand="0" w:firstRowFirstColumn="0" w:firstRowLastColumn="0" w:lastRowFirstColumn="0" w:lastRowLastColumn="0"/>
              <w:rPr>
                <w:lang w:val="en-US"/>
              </w:rPr>
            </w:pPr>
            <w:r>
              <w:t>2+2</w:t>
            </w:r>
            <w:r>
              <w:rPr>
                <w:lang w:val="en-US"/>
              </w:rPr>
              <w:t xml:space="preserve"> (per serving cell?)</w:t>
            </w:r>
          </w:p>
        </w:tc>
      </w:tr>
    </w:tbl>
    <w:p w14:paraId="768B7117" w14:textId="6BD35358" w:rsidR="00F245DA" w:rsidRDefault="00D5419C" w:rsidP="00D5419C">
      <w:pPr>
        <w:pStyle w:val="TF"/>
      </w:pPr>
      <w:bookmarkStart w:id="13" w:name="_Ref118198730"/>
      <w:r>
        <w:t xml:space="preserve">Table </w:t>
      </w:r>
      <w:r w:rsidR="007B562A">
        <w:fldChar w:fldCharType="begin"/>
      </w:r>
      <w:r w:rsidR="007B562A">
        <w:instrText xml:space="preserve"> SEQ Table \* ARABIC </w:instrText>
      </w:r>
      <w:r w:rsidR="007B562A">
        <w:fldChar w:fldCharType="separate"/>
      </w:r>
      <w:r w:rsidR="007B562A">
        <w:rPr>
          <w:noProof/>
        </w:rPr>
        <w:t>1</w:t>
      </w:r>
      <w:r w:rsidR="007B562A">
        <w:rPr>
          <w:noProof/>
        </w:rPr>
        <w:fldChar w:fldCharType="end"/>
      </w:r>
      <w:bookmarkEnd w:id="13"/>
      <w:r>
        <w:t>: Contents of the beam indication.</w:t>
      </w:r>
    </w:p>
    <w:p w14:paraId="25244775" w14:textId="2C1CBB27" w:rsidR="00643CEE" w:rsidRDefault="00643CEE" w:rsidP="006A3C39">
      <w:pPr>
        <w:rPr>
          <w:lang w:val="en-GB" w:eastAsia="ja-JP"/>
        </w:rPr>
      </w:pPr>
      <w:r>
        <w:rPr>
          <w:lang w:val="en-GB" w:eastAsia="ja-JP"/>
        </w:rPr>
        <w:t xml:space="preserve">Note that it is not clear if the beam indication needs to contain RS identifier for every serving cell of the candidate </w:t>
      </w:r>
      <w:r w:rsidR="00916194">
        <w:rPr>
          <w:lang w:val="en-GB" w:eastAsia="ja-JP"/>
        </w:rPr>
        <w:t>configuration. For sure, continuing communication on all serving cells directly after the cell switch would be beneficial, and this would require that RS identifiers are conveyed to the UE.</w:t>
      </w:r>
    </w:p>
    <w:p w14:paraId="31EE95E7" w14:textId="46027E28" w:rsidR="00E10E36" w:rsidRDefault="00E10E36" w:rsidP="006A3C39">
      <w:pPr>
        <w:rPr>
          <w:lang w:val="en-GB" w:eastAsia="ja-JP"/>
        </w:rPr>
      </w:pPr>
      <w:r>
        <w:rPr>
          <w:lang w:val="en-GB" w:eastAsia="ja-JP"/>
        </w:rPr>
        <w:t xml:space="preserve">In </w:t>
      </w:r>
      <w:r>
        <w:rPr>
          <w:lang w:val="en-GB" w:eastAsia="ja-JP"/>
        </w:rPr>
        <w:fldChar w:fldCharType="begin"/>
      </w:r>
      <w:r>
        <w:rPr>
          <w:lang w:val="en-GB" w:eastAsia="ja-JP"/>
        </w:rPr>
        <w:instrText xml:space="preserve"> REF _Ref118192366 \r \h </w:instrText>
      </w:r>
      <w:r>
        <w:rPr>
          <w:lang w:val="en-GB" w:eastAsia="ja-JP"/>
        </w:rPr>
      </w:r>
      <w:r>
        <w:rPr>
          <w:lang w:val="en-GB" w:eastAsia="ja-JP"/>
        </w:rPr>
        <w:fldChar w:fldCharType="separate"/>
      </w:r>
      <w:r w:rsidR="007B562A">
        <w:rPr>
          <w:lang w:val="en-GB" w:eastAsia="ja-JP"/>
        </w:rPr>
        <w:t>[4]</w:t>
      </w:r>
      <w:r>
        <w:rPr>
          <w:lang w:val="en-GB" w:eastAsia="ja-JP"/>
        </w:rPr>
        <w:fldChar w:fldCharType="end"/>
      </w:r>
      <w:r>
        <w:rPr>
          <w:lang w:val="en-GB" w:eastAsia="ja-JP"/>
        </w:rPr>
        <w:t xml:space="preserve">, RAN2 provides the agreements on LTM made in RAN2#119bis-e. One of the agreements is related to the dynamic cell-switch: </w:t>
      </w:r>
    </w:p>
    <w:p w14:paraId="2244FD4B" w14:textId="77777777" w:rsidR="00E10E36" w:rsidRPr="004C4F1C" w:rsidRDefault="00E10E36" w:rsidP="00E10E36">
      <w:pPr>
        <w:pStyle w:val="Agreement"/>
        <w:tabs>
          <w:tab w:val="clear" w:pos="1619"/>
          <w:tab w:val="num" w:pos="644"/>
        </w:tabs>
        <w:ind w:left="644"/>
        <w:rPr>
          <w:rFonts w:cs="Arial"/>
        </w:rPr>
      </w:pPr>
      <w:r w:rsidRPr="004C4F1C">
        <w:rPr>
          <w:rFonts w:cs="Arial"/>
        </w:rPr>
        <w:t xml:space="preserve">RAN2 assumes L1/2 mobility trigger information is conveyed in a MAC CE, FFS if the MAC CE or a DCI is used for the actual triggering. </w:t>
      </w:r>
    </w:p>
    <w:p w14:paraId="58B8AF3E" w14:textId="301FDDBF" w:rsidR="00C714C2" w:rsidRDefault="00545FAE" w:rsidP="006A3C39">
      <w:pPr>
        <w:rPr>
          <w:lang w:val="en-GB" w:eastAsia="ja-JP"/>
        </w:rPr>
      </w:pPr>
      <w:r>
        <w:rPr>
          <w:lang w:val="en-GB" w:eastAsia="ja-JP"/>
        </w:rPr>
        <w:br/>
      </w:r>
      <w:r w:rsidR="00E10E36">
        <w:rPr>
          <w:lang w:val="en-GB" w:eastAsia="ja-JP"/>
        </w:rPr>
        <w:t>Hence, RAN2 assumes that the mobility trigger information, including the candidate configuration inde</w:t>
      </w:r>
      <w:r>
        <w:rPr>
          <w:lang w:val="en-GB" w:eastAsia="ja-JP"/>
        </w:rPr>
        <w:t>x</w:t>
      </w:r>
      <w:r w:rsidR="007F5AF0">
        <w:rPr>
          <w:lang w:val="en-GB" w:eastAsia="ja-JP"/>
        </w:rPr>
        <w:t>,</w:t>
      </w:r>
      <w:r>
        <w:rPr>
          <w:lang w:val="en-GB" w:eastAsia="ja-JP"/>
        </w:rPr>
        <w:t xml:space="preserve"> is conveyed in a MAC CE</w:t>
      </w:r>
      <w:r w:rsidR="00D5419C">
        <w:rPr>
          <w:lang w:val="en-GB" w:eastAsia="ja-JP"/>
        </w:rPr>
        <w:t xml:space="preserve">.  </w:t>
      </w:r>
      <w:r w:rsidR="00C714C2">
        <w:rPr>
          <w:lang w:val="en-GB" w:eastAsia="ja-JP"/>
        </w:rPr>
        <w:t xml:space="preserve">Since MAC CE conveys the mobility trigger information, adding a DCI trigger would simply delay the execution. </w:t>
      </w:r>
      <w:r w:rsidR="005E27E0">
        <w:rPr>
          <w:lang w:val="en-GB" w:eastAsia="ja-JP"/>
        </w:rPr>
        <w:t xml:space="preserve">Looking at the contents of the beam indication in </w:t>
      </w:r>
      <w:r w:rsidR="005E27E0">
        <w:rPr>
          <w:lang w:val="en-GB" w:eastAsia="ja-JP"/>
        </w:rPr>
        <w:fldChar w:fldCharType="begin"/>
      </w:r>
      <w:r w:rsidR="005E27E0">
        <w:rPr>
          <w:lang w:val="en-GB" w:eastAsia="ja-JP"/>
        </w:rPr>
        <w:instrText xml:space="preserve"> REF _Ref118198730 \h </w:instrText>
      </w:r>
      <w:r w:rsidR="005E27E0">
        <w:rPr>
          <w:lang w:val="en-GB" w:eastAsia="ja-JP"/>
        </w:rPr>
      </w:r>
      <w:r w:rsidR="005E27E0">
        <w:rPr>
          <w:lang w:val="en-GB" w:eastAsia="ja-JP"/>
        </w:rPr>
        <w:fldChar w:fldCharType="separate"/>
      </w:r>
      <w:r w:rsidR="007B562A">
        <w:t xml:space="preserve">Table </w:t>
      </w:r>
      <w:r w:rsidR="007B562A">
        <w:rPr>
          <w:noProof/>
        </w:rPr>
        <w:t>1</w:t>
      </w:r>
      <w:r w:rsidR="005E27E0">
        <w:rPr>
          <w:lang w:val="en-GB" w:eastAsia="ja-JP"/>
        </w:rPr>
        <w:fldChar w:fldCharType="end"/>
      </w:r>
      <w:r w:rsidR="005E27E0">
        <w:rPr>
          <w:lang w:val="en-GB" w:eastAsia="ja-JP"/>
        </w:rPr>
        <w:t xml:space="preserve">, we realize that the ICBM approach, where a set of targets are preconfigured using MAC CE, and DCI selects one of them, is not viable: at least the TA </w:t>
      </w:r>
      <w:r w:rsidR="00A74B87">
        <w:rPr>
          <w:lang w:val="en-GB" w:eastAsia="ja-JP"/>
        </w:rPr>
        <w:t>cannot be preconfigured</w:t>
      </w:r>
      <w:r w:rsidR="005E27E0">
        <w:rPr>
          <w:lang w:val="en-GB" w:eastAsia="ja-JP"/>
        </w:rPr>
        <w:t>.</w:t>
      </w:r>
    </w:p>
    <w:p w14:paraId="17D40D8A" w14:textId="45A1514C" w:rsidR="00C714C2" w:rsidRDefault="00C714C2" w:rsidP="006A3C39">
      <w:pPr>
        <w:rPr>
          <w:lang w:val="en-GB" w:eastAsia="ja-JP"/>
        </w:rPr>
      </w:pPr>
      <w:r>
        <w:rPr>
          <w:lang w:val="en-GB" w:eastAsia="ja-JP"/>
        </w:rPr>
        <w:t xml:space="preserve">Hence, we propose </w:t>
      </w:r>
    </w:p>
    <w:p w14:paraId="64C0F64D" w14:textId="771EADAF" w:rsidR="00C714C2" w:rsidRPr="005E27E0" w:rsidRDefault="005E27E0" w:rsidP="0003403D">
      <w:pPr>
        <w:pStyle w:val="Proposal"/>
        <w:rPr>
          <w:lang w:val="en-GB" w:eastAsia="ja-JP"/>
        </w:rPr>
      </w:pPr>
      <w:bookmarkStart w:id="14" w:name="_Ref118209970"/>
      <w:bookmarkStart w:id="15" w:name="_Toc118454802"/>
      <w:r w:rsidRPr="005E27E0">
        <w:rPr>
          <w:lang w:val="en-GB"/>
        </w:rPr>
        <w:t xml:space="preserve">The LTM </w:t>
      </w:r>
      <w:r w:rsidRPr="004C4F1C">
        <w:rPr>
          <w:rFonts w:cs="Arial"/>
        </w:rPr>
        <w:t>mobility trigger information is conveyed in a MAC CE</w:t>
      </w:r>
      <w:r>
        <w:rPr>
          <w:rFonts w:cs="Arial"/>
        </w:rPr>
        <w:t>, and th</w:t>
      </w:r>
      <w:r w:rsidR="001D71C5">
        <w:rPr>
          <w:rFonts w:cs="Arial"/>
        </w:rPr>
        <w:t>e same</w:t>
      </w:r>
      <w:r>
        <w:rPr>
          <w:rFonts w:cs="Arial"/>
        </w:rPr>
        <w:t xml:space="preserve"> MAC CE is used for the actual triggering.</w:t>
      </w:r>
      <w:bookmarkEnd w:id="14"/>
      <w:bookmarkEnd w:id="15"/>
    </w:p>
    <w:p w14:paraId="0EA3BB21" w14:textId="71D1DCEE" w:rsidR="0037204F" w:rsidRDefault="0037204F" w:rsidP="0037204F">
      <w:pPr>
        <w:pStyle w:val="Heading2"/>
      </w:pPr>
      <w:r>
        <w:t>2.2</w:t>
      </w:r>
      <w:r>
        <w:tab/>
        <w:t>Beam measurement</w:t>
      </w:r>
    </w:p>
    <w:p w14:paraId="2EF4A633" w14:textId="77777777" w:rsidR="00B07C72" w:rsidRDefault="00B07C72" w:rsidP="00B07C72">
      <w:pPr>
        <w:pStyle w:val="BodyText"/>
      </w:pPr>
      <w:r>
        <w:t xml:space="preserve">The inter-cell beam measurements specified in Rel-17 have one big drawback: they need to be explicitly configured, leading to complications for the NW, and high memory requirements for the UE. The reporting for LTM should be designed to avoid these issues, while at the same time addressing all the scenarios specified in the WID. </w:t>
      </w:r>
    </w:p>
    <w:p w14:paraId="74E763D0" w14:textId="1B6AF29A" w:rsidR="007F5C71" w:rsidRDefault="007F5C71" w:rsidP="008161F5">
      <w:pPr>
        <w:pStyle w:val="BodyText"/>
      </w:pPr>
      <w:r>
        <w:t>In RAN1#110bis-e, RAN1 made the following agreements:</w:t>
      </w:r>
    </w:p>
    <w:p w14:paraId="477E1E5F" w14:textId="4D51CBCA" w:rsidR="007F5C71" w:rsidRDefault="007F5C71" w:rsidP="00A04F49">
      <w:pPr>
        <w:pStyle w:val="BodyText"/>
      </w:pPr>
      <w:r>
        <w:rPr>
          <w:noProof/>
        </w:rPr>
        <w:lastRenderedPageBreak/>
        <mc:AlternateContent>
          <mc:Choice Requires="wps">
            <w:drawing>
              <wp:inline distT="0" distB="0" distL="0" distR="0" wp14:anchorId="75159CB5" wp14:editId="5C7A13B3">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672A494" w14:textId="77777777" w:rsidR="007F5C71" w:rsidRPr="007F5C71" w:rsidRDefault="007F5C71" w:rsidP="007F5C71">
                            <w:pPr>
                              <w:rPr>
                                <w:rFonts w:ascii="Times" w:hAnsi="Times" w:cs="Times"/>
                                <w:b/>
                                <w:bCs/>
                                <w:szCs w:val="20"/>
                                <w:highlight w:val="green"/>
                                <w:lang w:eastAsia="x-none"/>
                              </w:rPr>
                            </w:pPr>
                            <w:r w:rsidRPr="007F5C71">
                              <w:rPr>
                                <w:rFonts w:ascii="Times" w:hAnsi="Times" w:cs="Times"/>
                                <w:b/>
                                <w:bCs/>
                                <w:szCs w:val="20"/>
                                <w:highlight w:val="green"/>
                                <w:lang w:eastAsia="x-none"/>
                              </w:rPr>
                              <w:t>Agreement</w:t>
                            </w:r>
                          </w:p>
                          <w:p w14:paraId="2720B11C" w14:textId="77777777" w:rsidR="007F5C71" w:rsidRPr="00320151" w:rsidRDefault="007F5C71" w:rsidP="007F5C71">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Rel-18 L1/L2 mobility, L1 intra-frequency measurement for candidate cell is supported</w:t>
                            </w:r>
                          </w:p>
                          <w:p w14:paraId="2C375604"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At least the following aspects are for RAN1 further study:</w:t>
                            </w:r>
                          </w:p>
                          <w:p w14:paraId="61EB9EEF"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b/>
                                <w:bCs/>
                                <w:sz w:val="20"/>
                                <w:szCs w:val="20"/>
                              </w:rPr>
                            </w:pPr>
                            <w:r w:rsidRPr="00320151">
                              <w:rPr>
                                <w:rFonts w:ascii="Times" w:hAnsi="Times" w:cs="Times"/>
                                <w:sz w:val="20"/>
                                <w:szCs w:val="20"/>
                              </w:rPr>
                              <w:t>RAN1 assumes Rel-17 ICBM CSI measurement as starting point.</w:t>
                            </w:r>
                          </w:p>
                          <w:p w14:paraId="273D1B9B"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trike/>
                                <w:sz w:val="20"/>
                                <w:szCs w:val="20"/>
                              </w:rPr>
                            </w:pPr>
                            <w:r w:rsidRPr="00320151">
                              <w:rPr>
                                <w:rFonts w:ascii="Times" w:hAnsi="Times" w:cs="Times"/>
                                <w:sz w:val="20"/>
                                <w:szCs w:val="20"/>
                              </w:rPr>
                              <w:t>Whether and how to apply relaxation for the restrictions imposed on the Rel-17 intra-frequency L1 non-serving cell measurement defined in 9.13.2 of TS38.133, where RAN4 impact is foreseen, e.g.</w:t>
                            </w:r>
                          </w:p>
                          <w:p w14:paraId="6E58C88C"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SFN offset alignment compared with serving cell</w:t>
                            </w:r>
                          </w:p>
                          <w:p w14:paraId="5F128863"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BWP setting, i.e. non-serving cell SSB should be covered by serving cell active BWP</w:t>
                            </w:r>
                          </w:p>
                          <w:p w14:paraId="65071C99"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Introduction of symbol level gap or SMTC for larger Rx timing difference (i.e. larger than CP length) </w:t>
                            </w:r>
                          </w:p>
                          <w:p w14:paraId="5CE1033B"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intra-frequency L3 measurement</w:t>
                            </w:r>
                          </w:p>
                          <w:p w14:paraId="3F45CC9E"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L1 inter-frequency measurement for measurement configuration</w:t>
                            </w:r>
                          </w:p>
                          <w:p w14:paraId="6A2BB075" w14:textId="77777777" w:rsidR="007F5C71" w:rsidRPr="007F5C71" w:rsidRDefault="007F5C71" w:rsidP="007F5C71">
                            <w:pPr>
                              <w:pStyle w:val="ListParagraph"/>
                              <w:snapToGrid w:val="0"/>
                              <w:spacing w:after="100" w:afterAutospacing="1" w:line="240" w:lineRule="auto"/>
                              <w:ind w:left="840"/>
                              <w:jc w:val="both"/>
                              <w:rPr>
                                <w:rFonts w:ascii="Times" w:hAnsi="Times" w:cs="Times"/>
                                <w:b/>
                                <w:bCs/>
                                <w:sz w:val="20"/>
                                <w:szCs w:val="20"/>
                              </w:rPr>
                            </w:pPr>
                          </w:p>
                          <w:p w14:paraId="29584652" w14:textId="77777777" w:rsidR="007F5C71" w:rsidRPr="00320151" w:rsidRDefault="007F5C71" w:rsidP="007F5C71">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3A8E93BA" w14:textId="77777777" w:rsidR="007F5C71" w:rsidRPr="00320151" w:rsidRDefault="007F5C71" w:rsidP="007F5C71">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For Rel-18 L1/L2 mobility, further study the potential RAN1 spec impact of L1 inter-frequency measurement </w:t>
                            </w:r>
                          </w:p>
                          <w:p w14:paraId="0AC61B8B"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The definition and scenarios of L1 inter-frequency measurement is determined by RAN4, and RAN1 assumes at least the following until receiving their confirmation</w:t>
                            </w:r>
                          </w:p>
                          <w:p w14:paraId="6D1B5638"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w:t>
                            </w:r>
                            <w:r w:rsidRPr="00320151">
                              <w:rPr>
                                <w:rFonts w:ascii="Times" w:hAnsi="Times" w:cs="Times"/>
                                <w:sz w:val="20"/>
                                <w:szCs w:val="20"/>
                                <w:lang w:eastAsia="zh-CN"/>
                              </w:rPr>
                              <w:t>he scenarios not included in intra-frequency are regarded as inter-frequency</w:t>
                            </w:r>
                            <w:r w:rsidRPr="00320151">
                              <w:rPr>
                                <w:rFonts w:ascii="Times" w:hAnsi="Times" w:cs="Times"/>
                                <w:sz w:val="20"/>
                                <w:szCs w:val="20"/>
                              </w:rPr>
                              <w:t>, which includes at least the following scenarios:</w:t>
                            </w:r>
                          </w:p>
                          <w:p w14:paraId="4CC7A16C"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The frequency of the measured RS not covered by any of the active BWPs of </w:t>
                            </w:r>
                            <w:proofErr w:type="spellStart"/>
                            <w:r w:rsidRPr="00320151">
                              <w:rPr>
                                <w:rFonts w:ascii="Times" w:hAnsi="Times" w:cs="Times"/>
                                <w:sz w:val="20"/>
                                <w:szCs w:val="20"/>
                              </w:rPr>
                              <w:t>SpCell</w:t>
                            </w:r>
                            <w:proofErr w:type="spellEnd"/>
                            <w:r w:rsidRPr="00320151">
                              <w:rPr>
                                <w:rFonts w:ascii="Times" w:hAnsi="Times" w:cs="Times"/>
                                <w:sz w:val="20"/>
                                <w:szCs w:val="20"/>
                              </w:rPr>
                              <w:t xml:space="preserve"> and </w:t>
                            </w:r>
                            <w:proofErr w:type="spellStart"/>
                            <w:r w:rsidRPr="00320151">
                              <w:rPr>
                                <w:rFonts w:ascii="Times" w:hAnsi="Times" w:cs="Times"/>
                                <w:sz w:val="20"/>
                                <w:szCs w:val="20"/>
                              </w:rPr>
                              <w:t>Scells</w:t>
                            </w:r>
                            <w:proofErr w:type="spellEnd"/>
                            <w:r w:rsidRPr="00320151">
                              <w:rPr>
                                <w:rFonts w:ascii="Times" w:hAnsi="Times" w:cs="Times"/>
                                <w:sz w:val="20"/>
                                <w:szCs w:val="20"/>
                              </w:rPr>
                              <w:t xml:space="preserve"> configured for a UE, but covered by some of the configured BWPs of </w:t>
                            </w:r>
                            <w:proofErr w:type="spellStart"/>
                            <w:r w:rsidRPr="00320151">
                              <w:rPr>
                                <w:rFonts w:ascii="Times" w:hAnsi="Times" w:cs="Times"/>
                                <w:sz w:val="20"/>
                                <w:szCs w:val="20"/>
                              </w:rPr>
                              <w:t>SpCell</w:t>
                            </w:r>
                            <w:proofErr w:type="spellEnd"/>
                            <w:r w:rsidRPr="00320151">
                              <w:rPr>
                                <w:rFonts w:ascii="Times" w:hAnsi="Times" w:cs="Times"/>
                                <w:sz w:val="20"/>
                                <w:szCs w:val="20"/>
                              </w:rPr>
                              <w:t xml:space="preserve"> and </w:t>
                            </w:r>
                            <w:proofErr w:type="spellStart"/>
                            <w:r w:rsidRPr="00320151">
                              <w:rPr>
                                <w:rFonts w:ascii="Times" w:hAnsi="Times" w:cs="Times"/>
                                <w:sz w:val="20"/>
                                <w:szCs w:val="20"/>
                              </w:rPr>
                              <w:t>Scells</w:t>
                            </w:r>
                            <w:proofErr w:type="spellEnd"/>
                            <w:r w:rsidRPr="00320151">
                              <w:rPr>
                                <w:rFonts w:ascii="Times" w:hAnsi="Times" w:cs="Times"/>
                                <w:sz w:val="20"/>
                                <w:szCs w:val="20"/>
                              </w:rPr>
                              <w:t xml:space="preserve"> configured for a UE.</w:t>
                            </w:r>
                          </w:p>
                          <w:p w14:paraId="21888879"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The frequency of the measured RS not covered by any of the configured BWPs of </w:t>
                            </w:r>
                            <w:proofErr w:type="spellStart"/>
                            <w:r w:rsidRPr="00320151">
                              <w:rPr>
                                <w:rFonts w:ascii="Times" w:hAnsi="Times" w:cs="Times"/>
                                <w:sz w:val="20"/>
                                <w:szCs w:val="20"/>
                              </w:rPr>
                              <w:t>SpCell</w:t>
                            </w:r>
                            <w:proofErr w:type="spellEnd"/>
                            <w:r w:rsidRPr="00320151">
                              <w:rPr>
                                <w:rFonts w:ascii="Times" w:hAnsi="Times" w:cs="Times"/>
                                <w:sz w:val="20"/>
                                <w:szCs w:val="20"/>
                              </w:rPr>
                              <w:t xml:space="preserve"> and </w:t>
                            </w:r>
                            <w:proofErr w:type="spellStart"/>
                            <w:r w:rsidRPr="00320151">
                              <w:rPr>
                                <w:rFonts w:ascii="Times" w:hAnsi="Times" w:cs="Times"/>
                                <w:sz w:val="20"/>
                                <w:szCs w:val="20"/>
                              </w:rPr>
                              <w:t>Scells</w:t>
                            </w:r>
                            <w:proofErr w:type="spellEnd"/>
                            <w:r w:rsidRPr="00320151">
                              <w:rPr>
                                <w:rFonts w:ascii="Times" w:hAnsi="Times" w:cs="Times"/>
                                <w:sz w:val="20"/>
                                <w:szCs w:val="20"/>
                              </w:rPr>
                              <w:t xml:space="preserve"> configured for a UE</w:t>
                            </w:r>
                          </w:p>
                          <w:p w14:paraId="0DE85470"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At least the following aspect is studied:</w:t>
                            </w:r>
                          </w:p>
                          <w:p w14:paraId="34674625" w14:textId="09F34A41" w:rsidR="007F5C71" w:rsidRPr="007F5C7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L1 intra-frequency measurement for measurement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159CB5" id="Text Box 7"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7672A494" w14:textId="77777777" w:rsidR="007F5C71" w:rsidRPr="007F5C71" w:rsidRDefault="007F5C71" w:rsidP="007F5C71">
                      <w:pPr>
                        <w:rPr>
                          <w:rFonts w:ascii="Times" w:hAnsi="Times" w:cs="Times"/>
                          <w:b/>
                          <w:bCs/>
                          <w:szCs w:val="20"/>
                          <w:highlight w:val="green"/>
                          <w:lang w:eastAsia="x-none"/>
                        </w:rPr>
                      </w:pPr>
                      <w:r w:rsidRPr="007F5C71">
                        <w:rPr>
                          <w:rFonts w:ascii="Times" w:hAnsi="Times" w:cs="Times"/>
                          <w:b/>
                          <w:bCs/>
                          <w:szCs w:val="20"/>
                          <w:highlight w:val="green"/>
                          <w:lang w:eastAsia="x-none"/>
                        </w:rPr>
                        <w:t>Agreement</w:t>
                      </w:r>
                    </w:p>
                    <w:p w14:paraId="2720B11C" w14:textId="77777777" w:rsidR="007F5C71" w:rsidRPr="00320151" w:rsidRDefault="007F5C71" w:rsidP="007F5C71">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Rel-18 L1/L2 mobility, L1 intra-frequency measurement for candidate cell is supported</w:t>
                      </w:r>
                    </w:p>
                    <w:p w14:paraId="2C375604"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At least the following aspects are for RAN1 further study:</w:t>
                      </w:r>
                    </w:p>
                    <w:p w14:paraId="61EB9EEF"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b/>
                          <w:bCs/>
                          <w:sz w:val="20"/>
                          <w:szCs w:val="20"/>
                        </w:rPr>
                      </w:pPr>
                      <w:r w:rsidRPr="00320151">
                        <w:rPr>
                          <w:rFonts w:ascii="Times" w:hAnsi="Times" w:cs="Times"/>
                          <w:sz w:val="20"/>
                          <w:szCs w:val="20"/>
                        </w:rPr>
                        <w:t>RAN1 assumes Rel-17 ICBM CSI measurement as starting point.</w:t>
                      </w:r>
                    </w:p>
                    <w:p w14:paraId="273D1B9B"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trike/>
                          <w:sz w:val="20"/>
                          <w:szCs w:val="20"/>
                        </w:rPr>
                      </w:pPr>
                      <w:r w:rsidRPr="00320151">
                        <w:rPr>
                          <w:rFonts w:ascii="Times" w:hAnsi="Times" w:cs="Times"/>
                          <w:sz w:val="20"/>
                          <w:szCs w:val="20"/>
                        </w:rPr>
                        <w:t>Whether and how to apply relaxation for the restrictions imposed on the Rel-17 intra-frequency L1 non-serving cell measurement defined in 9.13.2 of TS38.133, where RAN4 impact is foreseen, e.g.</w:t>
                      </w:r>
                    </w:p>
                    <w:p w14:paraId="6E58C88C"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SFN offset alignment compared with serving cell</w:t>
                      </w:r>
                    </w:p>
                    <w:p w14:paraId="5F128863"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BWP setting, i.e. non-serving cell SSB should be covered by serving cell active BWP</w:t>
                      </w:r>
                    </w:p>
                    <w:p w14:paraId="65071C99"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Introduction of symbol level gap or SMTC for larger Rx timing difference (i.e. larger than CP length) </w:t>
                      </w:r>
                    </w:p>
                    <w:p w14:paraId="5CE1033B"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intra-frequency L3 measurement</w:t>
                      </w:r>
                    </w:p>
                    <w:p w14:paraId="3F45CC9E"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L1 inter-frequency measurement for measurement configuration</w:t>
                      </w:r>
                    </w:p>
                    <w:p w14:paraId="6A2BB075" w14:textId="77777777" w:rsidR="007F5C71" w:rsidRPr="007F5C71" w:rsidRDefault="007F5C71" w:rsidP="007F5C71">
                      <w:pPr>
                        <w:pStyle w:val="ListParagraph"/>
                        <w:snapToGrid w:val="0"/>
                        <w:spacing w:after="100" w:afterAutospacing="1" w:line="240" w:lineRule="auto"/>
                        <w:ind w:left="840"/>
                        <w:jc w:val="both"/>
                        <w:rPr>
                          <w:rFonts w:ascii="Times" w:hAnsi="Times" w:cs="Times"/>
                          <w:b/>
                          <w:bCs/>
                          <w:sz w:val="20"/>
                          <w:szCs w:val="20"/>
                        </w:rPr>
                      </w:pPr>
                    </w:p>
                    <w:p w14:paraId="29584652" w14:textId="77777777" w:rsidR="007F5C71" w:rsidRPr="00320151" w:rsidRDefault="007F5C71" w:rsidP="007F5C71">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3A8E93BA" w14:textId="77777777" w:rsidR="007F5C71" w:rsidRPr="00320151" w:rsidRDefault="007F5C71" w:rsidP="007F5C71">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For Rel-18 L1/L2 mobility, further study the potential RAN1 spec impact of L1 inter-frequency measurement </w:t>
                      </w:r>
                    </w:p>
                    <w:p w14:paraId="0AC61B8B"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The definition and scenarios of L1 inter-frequency measurement is determined by RAN4, and RAN1 assumes at least the following until receiving their confirmation</w:t>
                      </w:r>
                    </w:p>
                    <w:p w14:paraId="6D1B5638" w14:textId="77777777" w:rsidR="007F5C71" w:rsidRPr="0032015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w:t>
                      </w:r>
                      <w:r w:rsidRPr="00320151">
                        <w:rPr>
                          <w:rFonts w:ascii="Times" w:hAnsi="Times" w:cs="Times"/>
                          <w:sz w:val="20"/>
                          <w:szCs w:val="20"/>
                          <w:lang w:eastAsia="zh-CN"/>
                        </w:rPr>
                        <w:t>he scenarios not included in intra-frequency are regarded as inter-frequency</w:t>
                      </w:r>
                      <w:r w:rsidRPr="00320151">
                        <w:rPr>
                          <w:rFonts w:ascii="Times" w:hAnsi="Times" w:cs="Times"/>
                          <w:sz w:val="20"/>
                          <w:szCs w:val="20"/>
                        </w:rPr>
                        <w:t>, which includes at least the following scenarios:</w:t>
                      </w:r>
                    </w:p>
                    <w:p w14:paraId="4CC7A16C"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The frequency of the measured RS not covered by any of the active BWPs of SpCell and Scells configured for a UE, but covered by some of the configured BWPs of SpCell and Scells configured for a UE.</w:t>
                      </w:r>
                    </w:p>
                    <w:p w14:paraId="21888879" w14:textId="77777777" w:rsidR="007F5C71" w:rsidRPr="00320151" w:rsidRDefault="007F5C71" w:rsidP="007F5C71">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The frequency of the measured RS not covered by any of the configured BWPs of SpCell and Scells configured for a UE</w:t>
                      </w:r>
                    </w:p>
                    <w:p w14:paraId="0DE85470" w14:textId="77777777" w:rsidR="007F5C71" w:rsidRPr="00320151" w:rsidRDefault="007F5C71" w:rsidP="007F5C71">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At least the following aspect is studied:</w:t>
                      </w:r>
                    </w:p>
                    <w:p w14:paraId="34674625" w14:textId="09F34A41" w:rsidR="007F5C71" w:rsidRPr="007F5C71" w:rsidRDefault="007F5C71" w:rsidP="007F5C71">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Commonality with L1 intra-frequency measurement for measurement configuration</w:t>
                      </w:r>
                    </w:p>
                  </w:txbxContent>
                </v:textbox>
                <w10:anchorlock/>
              </v:shape>
            </w:pict>
          </mc:Fallback>
        </mc:AlternateContent>
      </w:r>
    </w:p>
    <w:p w14:paraId="5698D7B1" w14:textId="25FC7082" w:rsidR="00B07C72" w:rsidRDefault="00B07C72" w:rsidP="00B07C72">
      <w:pPr>
        <w:pStyle w:val="BodyText"/>
      </w:pPr>
      <w:r>
        <w:t xml:space="preserve">Fundamentally, RAN4 will define LTM intra-frequency and inter-frequency measurements. However, it would seem clear that from a configuration point of view, at least some inter-frequency measurements will require that a measurement frequency, </w:t>
      </w:r>
      <w:r w:rsidR="00916194">
        <w:t>i.e</w:t>
      </w:r>
      <w:r>
        <w:t>., an ARFCN, is configured.</w:t>
      </w:r>
    </w:p>
    <w:p w14:paraId="27473571" w14:textId="77777777" w:rsidR="00B07C72" w:rsidRDefault="00B07C72" w:rsidP="00B07C72">
      <w:pPr>
        <w:pStyle w:val="BodyText"/>
      </w:pPr>
      <w:r>
        <w:t>Here we think that the configuration of L3 measurements is a good example: the L3 measurements only require a target frequency, and intra-frequency L3 measurements do not require any configuration at all. In particular, the UE does not need to be informed which PCIs it should measure: the UE finds the SSBs of any relevant PCI without explicit configuration. Hence, we propose</w:t>
      </w:r>
    </w:p>
    <w:p w14:paraId="71D9EC4A" w14:textId="795E2D48" w:rsidR="00B07C72" w:rsidRDefault="00B07C72" w:rsidP="00B07C72">
      <w:pPr>
        <w:pStyle w:val="Proposal"/>
      </w:pPr>
      <w:bookmarkStart w:id="16" w:name="_Ref118203471"/>
      <w:bookmarkStart w:id="17" w:name="_Toc118454803"/>
      <w:r>
        <w:t xml:space="preserve">The </w:t>
      </w:r>
      <w:bookmarkEnd w:id="16"/>
      <w:r>
        <w:t xml:space="preserve">LTM intra-cell measurements on SSB do not require </w:t>
      </w:r>
      <w:r w:rsidR="00916194">
        <w:t>explicit configuration of PCIs, or SSB indices</w:t>
      </w:r>
      <w:r>
        <w:t>.</w:t>
      </w:r>
      <w:bookmarkEnd w:id="17"/>
    </w:p>
    <w:p w14:paraId="504AD495" w14:textId="77777777" w:rsidR="00B07C72" w:rsidRDefault="00B07C72" w:rsidP="00B07C72">
      <w:pPr>
        <w:pStyle w:val="Proposal"/>
      </w:pPr>
      <w:bookmarkStart w:id="18" w:name="_Toc118454804"/>
      <w:r>
        <w:t>The LTM inter-cell measurements on SSB only require the configuration of a target frequency.</w:t>
      </w:r>
      <w:bookmarkEnd w:id="18"/>
    </w:p>
    <w:p w14:paraId="61CA4227" w14:textId="367BEA3B" w:rsidR="00B07C72" w:rsidRDefault="00B07C72" w:rsidP="00B07C72">
      <w:pPr>
        <w:pStyle w:val="BodyText"/>
      </w:pPr>
      <w:r>
        <w:t>Note that this deviates from how measurements for ICBM are configured. On the other hand, we maximize the commonalities with the L3 measurements.</w:t>
      </w:r>
    </w:p>
    <w:p w14:paraId="3D882E48" w14:textId="4A3A86A3" w:rsidR="00144237" w:rsidRDefault="00144237" w:rsidP="00A04F49">
      <w:pPr>
        <w:pStyle w:val="BodyText"/>
      </w:pPr>
      <w:r>
        <w:t xml:space="preserve">The NW will use the beam measurements to determine if there is a need to change serving cell. The NW may choose to change serving cell if a candidate cell is (significantly) better than the serving cell, but the actual quality of the serving cell may also impact the decision: if the serving cell is still good enough, it may be beneficial to stay on the serving cell, even if another candidate cell is better. Thus, to be useful as a basis for a cell switch decision, the beam measurements used for </w:t>
      </w:r>
      <w:r w:rsidR="007F5C71">
        <w:t>LTM</w:t>
      </w:r>
      <w:r>
        <w:t xml:space="preserve"> must contain measurement related both to the serving cell, and potential target cells. Hence, we propose</w:t>
      </w:r>
    </w:p>
    <w:p w14:paraId="21A0F7B4" w14:textId="79EC1ECC" w:rsidR="0012715B" w:rsidRDefault="00144237" w:rsidP="00A04F49">
      <w:pPr>
        <w:pStyle w:val="Proposal"/>
      </w:pPr>
      <w:bookmarkStart w:id="19" w:name="_Toc118454805"/>
      <w:r>
        <w:t>The beam measurement</w:t>
      </w:r>
      <w:r w:rsidR="0012715B">
        <w:t xml:space="preserve"> reports to assist</w:t>
      </w:r>
      <w:r>
        <w:t xml:space="preserve"> </w:t>
      </w:r>
      <w:r w:rsidR="007F5C71">
        <w:t>LTM</w:t>
      </w:r>
      <w:r>
        <w:t xml:space="preserve"> </w:t>
      </w:r>
      <w:r w:rsidR="0012715B" w:rsidRPr="00781536">
        <w:rPr>
          <w:noProof/>
        </w:rPr>
        <w:t>include measurement information on serving  and</w:t>
      </w:r>
      <w:r w:rsidR="0012715B">
        <w:rPr>
          <w:noProof/>
        </w:rPr>
        <w:t xml:space="preserve"> target cells.</w:t>
      </w:r>
      <w:bookmarkEnd w:id="19"/>
    </w:p>
    <w:p w14:paraId="3691F8E7" w14:textId="78373ADA" w:rsidR="00AE44D8" w:rsidRDefault="00EE1C99" w:rsidP="008019FB">
      <w:pPr>
        <w:pStyle w:val="BodyText"/>
      </w:pPr>
      <w:r>
        <w:lastRenderedPageBreak/>
        <w:t>In RAN1#110bis-e, the following agreements were made:</w:t>
      </w:r>
    </w:p>
    <w:p w14:paraId="73E09717" w14:textId="23F71447" w:rsidR="00EE1C99" w:rsidRDefault="00EE1C99" w:rsidP="008019FB">
      <w:pPr>
        <w:pStyle w:val="BodyText"/>
      </w:pPr>
      <w:r>
        <w:rPr>
          <w:noProof/>
        </w:rPr>
        <mc:AlternateContent>
          <mc:Choice Requires="wps">
            <w:drawing>
              <wp:inline distT="0" distB="0" distL="0" distR="0" wp14:anchorId="58D1BA23" wp14:editId="19A3B96C">
                <wp:extent cx="6120765" cy="639758"/>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87E722" w14:textId="77777777" w:rsidR="00EE1C99" w:rsidRPr="00320151" w:rsidRDefault="00EE1C99" w:rsidP="00EE1C99">
                            <w:pPr>
                              <w:rPr>
                                <w:rFonts w:ascii="Times" w:hAnsi="Times" w:cs="Times"/>
                                <w:szCs w:val="20"/>
                                <w:highlight w:val="green"/>
                              </w:rPr>
                            </w:pPr>
                            <w:r w:rsidRPr="00320151">
                              <w:rPr>
                                <w:rFonts w:ascii="Times" w:hAnsi="Times" w:cs="Times"/>
                                <w:szCs w:val="20"/>
                                <w:highlight w:val="green"/>
                                <w:lang w:eastAsia="x-none"/>
                              </w:rPr>
                              <w:t>Agreement</w:t>
                            </w:r>
                          </w:p>
                          <w:p w14:paraId="6BBAAB96"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Rel-18 L1/L2 mobility,</w:t>
                            </w:r>
                          </w:p>
                          <w:p w14:paraId="73558815"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SSB is supported for L1 intra-frequency</w:t>
                            </w:r>
                            <w:r w:rsidRPr="00320151">
                              <w:rPr>
                                <w:rFonts w:ascii="Times" w:hAnsi="Times" w:cs="Times"/>
                                <w:color w:val="FF0000"/>
                                <w:sz w:val="20"/>
                                <w:szCs w:val="20"/>
                              </w:rPr>
                              <w:t xml:space="preserve"> </w:t>
                            </w:r>
                            <w:r w:rsidRPr="00320151">
                              <w:rPr>
                                <w:rFonts w:ascii="Times" w:hAnsi="Times" w:cs="Times"/>
                                <w:sz w:val="20"/>
                                <w:szCs w:val="20"/>
                              </w:rPr>
                              <w:t>measurement</w:t>
                            </w:r>
                          </w:p>
                          <w:p w14:paraId="335291BB"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SSB is supported for L1 inter-frequency measurement if inter-frequency L1 measurements are supported</w:t>
                            </w:r>
                          </w:p>
                          <w:p w14:paraId="01AD6F68"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Further study the following L1 measurement RS for candidate cell</w:t>
                            </w:r>
                          </w:p>
                          <w:p w14:paraId="3E8F038C" w14:textId="7265A2FB" w:rsidR="00EE1C99" w:rsidRPr="00EE1C99"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 xml:space="preserve">CSI-RS for tracking, beam management, CSI and mobility, CSI-IM, which is for L1 intra-frequency and L1 inter-frequency (if supported) </w:t>
                            </w:r>
                          </w:p>
                          <w:p w14:paraId="2602A1D5" w14:textId="48855808" w:rsidR="00EE1C99" w:rsidRPr="00320151" w:rsidRDefault="00EE1C99" w:rsidP="00EE1C99">
                            <w:pPr>
                              <w:rPr>
                                <w:rFonts w:ascii="Times" w:hAnsi="Times" w:cs="Times"/>
                                <w:szCs w:val="20"/>
                                <w:highlight w:val="green"/>
                                <w:lang w:eastAsia="x-none"/>
                              </w:rPr>
                            </w:pPr>
                            <w:r w:rsidRPr="00320151">
                              <w:rPr>
                                <w:rFonts w:ascii="Times" w:hAnsi="Times" w:cs="Times"/>
                                <w:szCs w:val="20"/>
                                <w:highlight w:val="green"/>
                                <w:lang w:eastAsia="x-none"/>
                              </w:rPr>
                              <w:t>Agreement</w:t>
                            </w:r>
                          </w:p>
                          <w:p w14:paraId="4E073268"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For candidate cell measurement for Rel-18 L1/L2 mobility, </w:t>
                            </w:r>
                          </w:p>
                          <w:p w14:paraId="0525AB4F"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L1-RSRP is supported for intra-frequency candidate cell measurement.</w:t>
                            </w:r>
                          </w:p>
                          <w:p w14:paraId="11299BEA"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Further study the following measurement quantities for candidate cell measurement</w:t>
                            </w:r>
                          </w:p>
                          <w:p w14:paraId="044F2BEA" w14:textId="77777777" w:rsidR="00EE1C99" w:rsidRPr="00320151" w:rsidRDefault="00EE1C99" w:rsidP="00EE1C99">
                            <w:pPr>
                              <w:pStyle w:val="ListParagraph"/>
                              <w:numPr>
                                <w:ilvl w:val="2"/>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L1-RSRP for inter-frequency (if supported)</w:t>
                            </w:r>
                          </w:p>
                          <w:p w14:paraId="6C54638E" w14:textId="77777777" w:rsidR="00EE1C99" w:rsidRPr="00320151" w:rsidRDefault="00EE1C99" w:rsidP="00EE1C99">
                            <w:pPr>
                              <w:pStyle w:val="ListParagraph"/>
                              <w:numPr>
                                <w:ilvl w:val="2"/>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L1-SINR for intra-frequency and inter-frequency (if supported)</w:t>
                            </w:r>
                          </w:p>
                          <w:p w14:paraId="7C7C3D96"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FFS: to assess the use case and the benefit of UL measurement instead of/in addition to DL L1 measurement, which includes:</w:t>
                            </w:r>
                          </w:p>
                          <w:p w14:paraId="45539F33"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How the UL measurement result is used, e.g. handover decision</w:t>
                            </w:r>
                          </w:p>
                          <w:p w14:paraId="340F3D2C"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Signals/channels used for UL measurement, e.g. SRS</w:t>
                            </w:r>
                          </w:p>
                          <w:p w14:paraId="47AA8C10"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 xml:space="preserve">Spec impact including other </w:t>
                            </w:r>
                            <w:proofErr w:type="spellStart"/>
                            <w:r w:rsidRPr="00320151">
                              <w:rPr>
                                <w:rFonts w:ascii="Times" w:hAnsi="Times" w:cs="Times"/>
                                <w:color w:val="000000"/>
                                <w:sz w:val="20"/>
                                <w:szCs w:val="20"/>
                              </w:rPr>
                              <w:t>WGs</w:t>
                            </w:r>
                            <w:proofErr w:type="spellEnd"/>
                            <w:r w:rsidRPr="00320151">
                              <w:rPr>
                                <w:rFonts w:ascii="Times" w:hAnsi="Times" w:cs="Times"/>
                                <w:color w:val="000000"/>
                                <w:sz w:val="20"/>
                                <w:szCs w:val="20"/>
                              </w:rPr>
                              <w:t>, e.g. definition of gNB measurement, interface to transfer RS configuration or measurement results</w:t>
                            </w:r>
                          </w:p>
                          <w:p w14:paraId="51FE5816" w14:textId="135259A8" w:rsidR="00EE1C99" w:rsidRPr="00EE1C99"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Note: The next discussion will take place based on companies’ contribution in future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D1BA23" id="Text Box 9"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0F87E722" w14:textId="77777777" w:rsidR="00EE1C99" w:rsidRPr="00320151" w:rsidRDefault="00EE1C99" w:rsidP="00EE1C99">
                      <w:pPr>
                        <w:rPr>
                          <w:rFonts w:ascii="Times" w:hAnsi="Times" w:cs="Times"/>
                          <w:szCs w:val="20"/>
                          <w:highlight w:val="green"/>
                        </w:rPr>
                      </w:pPr>
                      <w:r w:rsidRPr="00320151">
                        <w:rPr>
                          <w:rFonts w:ascii="Times" w:hAnsi="Times" w:cs="Times"/>
                          <w:szCs w:val="20"/>
                          <w:highlight w:val="green"/>
                          <w:lang w:eastAsia="x-none"/>
                        </w:rPr>
                        <w:t>Agreement</w:t>
                      </w:r>
                    </w:p>
                    <w:p w14:paraId="6BBAAB96"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Rel-18 L1/L2 mobility,</w:t>
                      </w:r>
                    </w:p>
                    <w:p w14:paraId="73558815"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SSB is supported for L1 intra-frequency</w:t>
                      </w:r>
                      <w:r w:rsidRPr="00320151">
                        <w:rPr>
                          <w:rFonts w:ascii="Times" w:hAnsi="Times" w:cs="Times"/>
                          <w:color w:val="FF0000"/>
                          <w:sz w:val="20"/>
                          <w:szCs w:val="20"/>
                        </w:rPr>
                        <w:t xml:space="preserve"> </w:t>
                      </w:r>
                      <w:r w:rsidRPr="00320151">
                        <w:rPr>
                          <w:rFonts w:ascii="Times" w:hAnsi="Times" w:cs="Times"/>
                          <w:sz w:val="20"/>
                          <w:szCs w:val="20"/>
                        </w:rPr>
                        <w:t>measurement</w:t>
                      </w:r>
                    </w:p>
                    <w:p w14:paraId="335291BB"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SSB is supported for L1 inter-frequency measurement if inter-frequency L1 measurements are supported</w:t>
                      </w:r>
                    </w:p>
                    <w:p w14:paraId="01AD6F68"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Further study the following L1 measurement RS for candidate cell</w:t>
                      </w:r>
                    </w:p>
                    <w:p w14:paraId="3E8F038C" w14:textId="7265A2FB" w:rsidR="00EE1C99" w:rsidRPr="00EE1C99"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 xml:space="preserve">CSI-RS for tracking, beam management, CSI and mobility, CSI-IM, which is for L1 intra-frequency and L1 inter-frequency (if supported) </w:t>
                      </w:r>
                    </w:p>
                    <w:p w14:paraId="2602A1D5" w14:textId="48855808" w:rsidR="00EE1C99" w:rsidRPr="00320151" w:rsidRDefault="00EE1C99" w:rsidP="00EE1C99">
                      <w:pPr>
                        <w:rPr>
                          <w:rFonts w:ascii="Times" w:hAnsi="Times" w:cs="Times"/>
                          <w:szCs w:val="20"/>
                          <w:highlight w:val="green"/>
                          <w:lang w:eastAsia="x-none"/>
                        </w:rPr>
                      </w:pPr>
                      <w:r w:rsidRPr="00320151">
                        <w:rPr>
                          <w:rFonts w:ascii="Times" w:hAnsi="Times" w:cs="Times"/>
                          <w:szCs w:val="20"/>
                          <w:highlight w:val="green"/>
                          <w:lang w:eastAsia="x-none"/>
                        </w:rPr>
                        <w:t>Agreement</w:t>
                      </w:r>
                    </w:p>
                    <w:p w14:paraId="4E073268"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For candidate cell measurement for Rel-18 L1/L2 mobility, </w:t>
                      </w:r>
                    </w:p>
                    <w:p w14:paraId="0525AB4F"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L1-RSRP is supported for intra-frequency candidate cell measurement.</w:t>
                      </w:r>
                    </w:p>
                    <w:p w14:paraId="11299BEA"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Further study the following measurement quantities for candidate cell measurement</w:t>
                      </w:r>
                    </w:p>
                    <w:p w14:paraId="044F2BEA" w14:textId="77777777" w:rsidR="00EE1C99" w:rsidRPr="00320151" w:rsidRDefault="00EE1C99" w:rsidP="00EE1C99">
                      <w:pPr>
                        <w:pStyle w:val="ListParagraph"/>
                        <w:numPr>
                          <w:ilvl w:val="2"/>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L1-RSRP for inter-frequency (if supported)</w:t>
                      </w:r>
                    </w:p>
                    <w:p w14:paraId="6C54638E" w14:textId="77777777" w:rsidR="00EE1C99" w:rsidRPr="00320151" w:rsidRDefault="00EE1C99" w:rsidP="00EE1C99">
                      <w:pPr>
                        <w:pStyle w:val="ListParagraph"/>
                        <w:numPr>
                          <w:ilvl w:val="2"/>
                          <w:numId w:val="39"/>
                        </w:numPr>
                        <w:snapToGrid w:val="0"/>
                        <w:spacing w:after="100" w:afterAutospacing="1" w:line="240" w:lineRule="auto"/>
                        <w:jc w:val="both"/>
                        <w:rPr>
                          <w:rFonts w:ascii="Times" w:hAnsi="Times" w:cs="Times"/>
                          <w:sz w:val="20"/>
                          <w:szCs w:val="20"/>
                        </w:rPr>
                      </w:pPr>
                      <w:r w:rsidRPr="00320151">
                        <w:rPr>
                          <w:rFonts w:ascii="Times" w:hAnsi="Times" w:cs="Times"/>
                          <w:sz w:val="20"/>
                          <w:szCs w:val="20"/>
                        </w:rPr>
                        <w:t>L1-SINR for intra-frequency and inter-frequency (if supported)</w:t>
                      </w:r>
                    </w:p>
                    <w:p w14:paraId="7C7C3D96" w14:textId="77777777" w:rsidR="00EE1C99" w:rsidRPr="00320151" w:rsidRDefault="00EE1C99" w:rsidP="00EE1C99">
                      <w:pPr>
                        <w:pStyle w:val="ListParagraph"/>
                        <w:numPr>
                          <w:ilvl w:val="0"/>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FFS: to assess the use case and the benefit of UL measurement instead of/in addition to DL L1 measurement, which includes:</w:t>
                      </w:r>
                    </w:p>
                    <w:p w14:paraId="45539F33"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How the UL measurement result is used, e.g. handover decision</w:t>
                      </w:r>
                    </w:p>
                    <w:p w14:paraId="340F3D2C"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Signals/channels used for UL measurement, e.g. SRS</w:t>
                      </w:r>
                    </w:p>
                    <w:p w14:paraId="47AA8C10" w14:textId="77777777" w:rsidR="00EE1C99" w:rsidRPr="00320151"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Spec impact including other WGs, e.g. definition of gNB measurement, interface to transfer RS configuration or measurement results</w:t>
                      </w:r>
                    </w:p>
                    <w:p w14:paraId="51FE5816" w14:textId="135259A8" w:rsidR="00EE1C99" w:rsidRPr="00EE1C99" w:rsidRDefault="00EE1C99" w:rsidP="00EE1C99">
                      <w:pPr>
                        <w:pStyle w:val="ListParagraph"/>
                        <w:numPr>
                          <w:ilvl w:val="1"/>
                          <w:numId w:val="39"/>
                        </w:numPr>
                        <w:snapToGrid w:val="0"/>
                        <w:spacing w:after="100" w:afterAutospacing="1" w:line="240" w:lineRule="auto"/>
                        <w:jc w:val="both"/>
                        <w:rPr>
                          <w:rFonts w:ascii="Times" w:hAnsi="Times" w:cs="Times"/>
                          <w:color w:val="000000"/>
                          <w:sz w:val="20"/>
                          <w:szCs w:val="20"/>
                        </w:rPr>
                      </w:pPr>
                      <w:r w:rsidRPr="00320151">
                        <w:rPr>
                          <w:rFonts w:ascii="Times" w:hAnsi="Times" w:cs="Times"/>
                          <w:color w:val="000000"/>
                          <w:sz w:val="20"/>
                          <w:szCs w:val="20"/>
                        </w:rPr>
                        <w:t>Note: The next discussion will take place based on companies’ contribution in future meeting.</w:t>
                      </w:r>
                    </w:p>
                  </w:txbxContent>
                </v:textbox>
                <w10:anchorlock/>
              </v:shape>
            </w:pict>
          </mc:Fallback>
        </mc:AlternateContent>
      </w:r>
    </w:p>
    <w:p w14:paraId="709C9659" w14:textId="4431A330" w:rsidR="00916194" w:rsidRDefault="002B0ED6" w:rsidP="004A29CA">
      <w:r>
        <w:t>Mobility relies on RSRP measurements: there are the only measurements that represent coverage. In contrast, SINR measurements are prone to error, due to fast interference variations</w:t>
      </w:r>
      <w:r w:rsidR="00A74B87">
        <w:t>, and must be combined with RSRP measurements to make reliable mobility decisions</w:t>
      </w:r>
      <w:r>
        <w:t xml:space="preserve">. Therefore, we propose </w:t>
      </w:r>
    </w:p>
    <w:p w14:paraId="04D0A76C" w14:textId="77576F55" w:rsidR="00EA5550" w:rsidRDefault="002B0ED6" w:rsidP="004A29CA">
      <w:pPr>
        <w:pStyle w:val="Proposal"/>
      </w:pPr>
      <w:bookmarkStart w:id="20" w:name="_Toc118454806"/>
      <w:r>
        <w:t>L1-RSRP is supported for inter-frequency candidate cell measurements.</w:t>
      </w:r>
      <w:bookmarkEnd w:id="20"/>
    </w:p>
    <w:p w14:paraId="286CCC31" w14:textId="64160AC9" w:rsidR="00EA5550" w:rsidRDefault="00EA5550" w:rsidP="004A29CA">
      <w:r>
        <w:t xml:space="preserve">For mobility based on UL measurement, the RS transmission overhead and the NW processing scales with load. In addition, since the RS is used to identify the UE, the number of available RS configurations becomes limiting. </w:t>
      </w:r>
      <w:r w:rsidR="007B562A">
        <w:t>Using UL measurements on a wide scale is thus problematic and specifying extensions to the standard for wide-scale applicability of UL mobility measurements are not motivated.</w:t>
      </w:r>
    </w:p>
    <w:p w14:paraId="7CB36937" w14:textId="7288FA7F" w:rsidR="002B0ED6" w:rsidRDefault="007B562A" w:rsidP="004A29CA">
      <w:r>
        <w:t>Note that</w:t>
      </w:r>
      <w:r w:rsidR="002B0ED6">
        <w:t xml:space="preserve"> the NW can already now trigger SRS transmissions </w:t>
      </w:r>
      <w:r w:rsidR="00EA5550">
        <w:t xml:space="preserve">that can be received in multiple cells. The resulting measurements the cells could be used to calculate the relative quality between the cells, at least if the UE transmission is omni-directional. </w:t>
      </w:r>
      <w:r>
        <w:t>Based on this, we propose</w:t>
      </w:r>
    </w:p>
    <w:p w14:paraId="0BFECE47" w14:textId="5E9B3B10" w:rsidR="007B562A" w:rsidRDefault="007B562A" w:rsidP="007B562A">
      <w:pPr>
        <w:pStyle w:val="Proposal"/>
      </w:pPr>
      <w:bookmarkStart w:id="21" w:name="_Toc118454807"/>
      <w:r>
        <w:t>Do not specify enhancements to mobility based on UL measurements.</w:t>
      </w:r>
      <w:bookmarkEnd w:id="21"/>
      <w:r>
        <w:t xml:space="preserve"> </w:t>
      </w:r>
    </w:p>
    <w:p w14:paraId="709441EA" w14:textId="316653E0" w:rsidR="004A29CA" w:rsidRDefault="00EE1C99" w:rsidP="004A29CA">
      <w:r>
        <w:t xml:space="preserve">With </w:t>
      </w:r>
      <w:r>
        <w:fldChar w:fldCharType="begin"/>
      </w:r>
      <w:r>
        <w:instrText xml:space="preserve"> REF _Ref118203471 \r \h </w:instrText>
      </w:r>
      <w:r>
        <w:fldChar w:fldCharType="separate"/>
      </w:r>
      <w:r w:rsidR="007B562A">
        <w:t>Proposal 6</w:t>
      </w:r>
      <w:r>
        <w:fldChar w:fldCharType="end"/>
      </w:r>
      <w:r>
        <w:t xml:space="preserve">, the measurement report must include information that enables the NW to identify the target. As described by the above agreements, the target is identified by an SSB index, and a PCI. To identify each measurement target, 16 bits would be needed, and if we reuse the RSRP quantization in 38.133, each RSRP value will be represented by 7 bits, meaning that each measurement will need 23 bits. </w:t>
      </w:r>
    </w:p>
    <w:p w14:paraId="303886D5" w14:textId="5D5DB66F" w:rsidR="00EE1C99" w:rsidRDefault="004A29CA" w:rsidP="004A29CA">
      <w:pPr>
        <w:pStyle w:val="Observation"/>
      </w:pPr>
      <w:bookmarkStart w:id="22" w:name="_Ref118204737"/>
      <w:bookmarkStart w:id="23" w:name="_Toc118454792"/>
      <w:r>
        <w:t xml:space="preserve">One entry in the measurement report would need </w:t>
      </w:r>
      <w:r w:rsidR="006E2052">
        <w:t xml:space="preserve">at least </w:t>
      </w:r>
      <w:r>
        <w:t>23 bits.</w:t>
      </w:r>
      <w:bookmarkEnd w:id="22"/>
      <w:bookmarkEnd w:id="23"/>
    </w:p>
    <w:p w14:paraId="5683D916" w14:textId="79D9B66E" w:rsidR="00AE44D8" w:rsidRDefault="00AE44D8" w:rsidP="00AE44D8">
      <w:r>
        <w:t>In RAN1#110bis-e, RAN1 made the following agreement:</w:t>
      </w:r>
    </w:p>
    <w:p w14:paraId="7FF23E2E" w14:textId="0B3DD447" w:rsidR="00AE44D8" w:rsidRDefault="00AE44D8" w:rsidP="008019FB">
      <w:pPr>
        <w:pStyle w:val="BodyText"/>
      </w:pPr>
      <w:r>
        <w:rPr>
          <w:noProof/>
        </w:rPr>
        <w:lastRenderedPageBreak/>
        <mc:AlternateContent>
          <mc:Choice Requires="wps">
            <w:drawing>
              <wp:inline distT="0" distB="0" distL="0" distR="0" wp14:anchorId="5E056B60" wp14:editId="332050C5">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1150F0" w14:textId="77777777" w:rsidR="00AE44D8" w:rsidRPr="00320151" w:rsidRDefault="00AE44D8" w:rsidP="00AE44D8">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405AFDB9" w14:textId="77777777" w:rsidR="00AE44D8" w:rsidRPr="00320151" w:rsidRDefault="00AE44D8" w:rsidP="00AE44D8">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L1 measurement report for Rel-18 L1/L2 mobility, further study the following mechanisms:</w:t>
                            </w:r>
                          </w:p>
                          <w:p w14:paraId="7DC489D4" w14:textId="77777777" w:rsidR="00AE44D8" w:rsidRPr="00320151" w:rsidRDefault="00AE44D8" w:rsidP="00AE44D8">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 Report as UCI on PUCCH or PUSCH</w:t>
                            </w:r>
                          </w:p>
                          <w:p w14:paraId="77E8923B" w14:textId="77777777" w:rsidR="00AE44D8" w:rsidRPr="00320151"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Periodic report on PUCCH, semi-persistent report on PUCCH/PUSCH, and aperiodic report on PUSCH</w:t>
                            </w:r>
                          </w:p>
                          <w:p w14:paraId="303EEA54" w14:textId="77777777" w:rsidR="00AE44D8" w:rsidRPr="00320151"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Potential enhancements to Rel-17 ICBM report format to accommodate Rel-18 scenarios, e.g.</w:t>
                            </w:r>
                          </w:p>
                          <w:p w14:paraId="78B06CF5"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Inter-frequency measurement, if supported</w:t>
                            </w:r>
                          </w:p>
                          <w:p w14:paraId="2350E80B"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Increasing the maximum number of reported beams, which is 4 for Rel-17 ICBM</w:t>
                            </w:r>
                          </w:p>
                          <w:p w14:paraId="71E2BD58"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Flexible size beam report, e.g., two-part UCI (e.g., the 1st part contains the best beam/cell and the number (e.g., N) of reported beams/cells, the 2nd part contains the rest (N-1) beams/cells</w:t>
                            </w:r>
                          </w:p>
                          <w:p w14:paraId="2286C086"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Reducing the reporting overhead by e.g. choosing beams/cells per frequency or across frequencies to report (FFS how)</w:t>
                            </w:r>
                          </w:p>
                          <w:p w14:paraId="2694895B" w14:textId="77777777" w:rsidR="00AE44D8" w:rsidRPr="00320151" w:rsidRDefault="00AE44D8" w:rsidP="00AE44D8">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Report on MAC CE </w:t>
                            </w:r>
                          </w:p>
                          <w:p w14:paraId="16D33C1A" w14:textId="26DB8875" w:rsidR="00AE44D8" w:rsidRPr="00AE44D8"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Both gNB scheduled and/or UE initiated (if supported) report are studied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056B60" id="Text Box 8"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711150F0" w14:textId="77777777" w:rsidR="00AE44D8" w:rsidRPr="00320151" w:rsidRDefault="00AE44D8" w:rsidP="00AE44D8">
                      <w:pPr>
                        <w:rPr>
                          <w:rFonts w:ascii="Times" w:eastAsia="DengXian" w:hAnsi="Times" w:cs="Times"/>
                          <w:szCs w:val="20"/>
                          <w:highlight w:val="green"/>
                          <w:lang w:eastAsia="zh-CN"/>
                        </w:rPr>
                      </w:pPr>
                      <w:r w:rsidRPr="00320151">
                        <w:rPr>
                          <w:rFonts w:ascii="Times" w:eastAsia="DengXian" w:hAnsi="Times" w:cs="Times"/>
                          <w:szCs w:val="20"/>
                          <w:highlight w:val="green"/>
                          <w:lang w:eastAsia="zh-CN"/>
                        </w:rPr>
                        <w:t>Agreement</w:t>
                      </w:r>
                    </w:p>
                    <w:p w14:paraId="405AFDB9" w14:textId="77777777" w:rsidR="00AE44D8" w:rsidRPr="00320151" w:rsidRDefault="00AE44D8" w:rsidP="00AE44D8">
                      <w:pPr>
                        <w:pStyle w:val="ListParagraph"/>
                        <w:numPr>
                          <w:ilvl w:val="0"/>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For L1 measurement report for Rel-18 L1/L2 mobility, further study the following mechanisms:</w:t>
                      </w:r>
                    </w:p>
                    <w:p w14:paraId="7DC489D4" w14:textId="77777777" w:rsidR="00AE44D8" w:rsidRPr="00320151" w:rsidRDefault="00AE44D8" w:rsidP="00AE44D8">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 Report as UCI on PUCCH or PUSCH</w:t>
                      </w:r>
                    </w:p>
                    <w:p w14:paraId="77E8923B" w14:textId="77777777" w:rsidR="00AE44D8" w:rsidRPr="00320151"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Periodic report on PUCCH, semi-persistent report on PUCCH/PUSCH, and aperiodic report on PUSCH</w:t>
                      </w:r>
                    </w:p>
                    <w:p w14:paraId="303EEA54" w14:textId="77777777" w:rsidR="00AE44D8" w:rsidRPr="00320151"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Potential enhancements to Rel-17 ICBM report format to accommodate Rel-18 scenarios, e.g.</w:t>
                      </w:r>
                    </w:p>
                    <w:p w14:paraId="78B06CF5"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Inter-frequency measurement, if supported</w:t>
                      </w:r>
                    </w:p>
                    <w:p w14:paraId="2350E80B"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Increasing the maximum number of reported beams, which is 4 for Rel-17 ICBM</w:t>
                      </w:r>
                    </w:p>
                    <w:p w14:paraId="71E2BD58"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Flexible size beam report, e.g., two-part UCI (e.g., the 1st part contains the best beam/cell and the number (e.g., N) of reported beams/cells, the 2nd part contains the rest (N-1) beams/cells</w:t>
                      </w:r>
                    </w:p>
                    <w:p w14:paraId="2286C086" w14:textId="77777777" w:rsidR="00AE44D8" w:rsidRPr="00320151" w:rsidRDefault="00AE44D8" w:rsidP="00AE44D8">
                      <w:pPr>
                        <w:pStyle w:val="ListParagraph"/>
                        <w:numPr>
                          <w:ilvl w:val="3"/>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Reducing the reporting overhead by e.g. choosing beams/cells per frequency or across frequencies to report (FFS how)</w:t>
                      </w:r>
                    </w:p>
                    <w:p w14:paraId="2694895B" w14:textId="77777777" w:rsidR="00AE44D8" w:rsidRPr="00320151" w:rsidRDefault="00AE44D8" w:rsidP="00AE44D8">
                      <w:pPr>
                        <w:pStyle w:val="ListParagraph"/>
                        <w:numPr>
                          <w:ilvl w:val="1"/>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 xml:space="preserve">Report on MAC CE </w:t>
                      </w:r>
                    </w:p>
                    <w:p w14:paraId="16D33C1A" w14:textId="26DB8875" w:rsidR="00AE44D8" w:rsidRPr="00AE44D8" w:rsidRDefault="00AE44D8" w:rsidP="00AE44D8">
                      <w:pPr>
                        <w:pStyle w:val="ListParagraph"/>
                        <w:numPr>
                          <w:ilvl w:val="2"/>
                          <w:numId w:val="38"/>
                        </w:numPr>
                        <w:snapToGrid w:val="0"/>
                        <w:spacing w:after="100" w:afterAutospacing="1" w:line="240" w:lineRule="auto"/>
                        <w:jc w:val="both"/>
                        <w:rPr>
                          <w:rFonts w:ascii="Times" w:hAnsi="Times" w:cs="Times"/>
                          <w:sz w:val="20"/>
                          <w:szCs w:val="20"/>
                        </w:rPr>
                      </w:pPr>
                      <w:r w:rsidRPr="00320151">
                        <w:rPr>
                          <w:rFonts w:ascii="Times" w:hAnsi="Times" w:cs="Times"/>
                          <w:sz w:val="20"/>
                          <w:szCs w:val="20"/>
                        </w:rPr>
                        <w:t>Both gNB scheduled and/or UE initiated (if supported) report are studied</w:t>
                      </w:r>
                    </w:p>
                  </w:txbxContent>
                </v:textbox>
                <w10:anchorlock/>
              </v:shape>
            </w:pict>
          </mc:Fallback>
        </mc:AlternateContent>
      </w:r>
    </w:p>
    <w:p w14:paraId="70D6CC51" w14:textId="0353E627" w:rsidR="000566FE" w:rsidRDefault="004A29CA" w:rsidP="008019FB">
      <w:pPr>
        <w:pStyle w:val="BodyText"/>
      </w:pPr>
      <w:r>
        <w:t xml:space="preserve">Since we are now performing inter-cell measurements, it would be beneficial if the UE reports more than four measurements, which was the limit in ICBM. Based on </w:t>
      </w:r>
      <w:r>
        <w:fldChar w:fldCharType="begin"/>
      </w:r>
      <w:r>
        <w:instrText xml:space="preserve"> REF _Ref118204737 \r \h </w:instrText>
      </w:r>
      <w:r>
        <w:fldChar w:fldCharType="separate"/>
      </w:r>
      <w:r w:rsidR="007B562A">
        <w:t>Observation 4</w:t>
      </w:r>
      <w:r>
        <w:fldChar w:fldCharType="end"/>
      </w:r>
      <w:r>
        <w:t xml:space="preserve">, the size of the report could then easily be 200 bits. </w:t>
      </w:r>
      <w:r w:rsidR="000566FE">
        <w:t>With such a report</w:t>
      </w:r>
      <w:r>
        <w:t xml:space="preserve"> size</w:t>
      </w:r>
      <w:r w:rsidR="000566FE">
        <w:t>, reporting over MAC would seem more appropriate. In addition, we also get the additional reliability from the retransmissions. Based on this, we propose</w:t>
      </w:r>
    </w:p>
    <w:p w14:paraId="24EA58B1" w14:textId="1B892CD0" w:rsidR="000566FE" w:rsidRDefault="000566FE" w:rsidP="000566FE">
      <w:pPr>
        <w:pStyle w:val="Proposal"/>
      </w:pPr>
      <w:bookmarkStart w:id="24" w:name="_Toc118454808"/>
      <w:r>
        <w:t xml:space="preserve">The </w:t>
      </w:r>
      <w:r w:rsidR="003B7331">
        <w:t xml:space="preserve">beam </w:t>
      </w:r>
      <w:r>
        <w:t xml:space="preserve">reporting for </w:t>
      </w:r>
      <w:r w:rsidR="00AE217F">
        <w:t>LTM</w:t>
      </w:r>
      <w:r>
        <w:t xml:space="preserve"> is performed over MAC.</w:t>
      </w:r>
      <w:bookmarkEnd w:id="24"/>
    </w:p>
    <w:p w14:paraId="4A86E80C" w14:textId="5F624D07" w:rsidR="005854B0" w:rsidRDefault="004A29CA" w:rsidP="008019FB">
      <w:pPr>
        <w:pStyle w:val="BodyText"/>
      </w:pPr>
      <w:r>
        <w:t xml:space="preserve">Event-driven reporting was discussed during RAN1#110bis-e, but no agreement was made. </w:t>
      </w:r>
      <w:r w:rsidR="00A74B87">
        <w:t xml:space="preserve">It is often claimed that </w:t>
      </w:r>
      <w:r w:rsidR="000566FE">
        <w:t xml:space="preserve">event-driven measurements </w:t>
      </w:r>
      <w:r w:rsidR="00A74B87">
        <w:t>have lower latency than NW-triggered measurements. This is incorrect:</w:t>
      </w:r>
      <w:r w:rsidR="003B7331">
        <w:t xml:space="preserve"> event-driven reporting does not reduce latency, since the latency is determined by the UL transmission time, which is </w:t>
      </w:r>
      <w:r w:rsidR="001450C4">
        <w:t>typically</w:t>
      </w:r>
      <w:r w:rsidR="003B7331">
        <w:t xml:space="preserve"> larger for event-driven reporting than for NW-initiated reporting:</w:t>
      </w:r>
    </w:p>
    <w:p w14:paraId="099D5948" w14:textId="337B210A" w:rsidR="003B7331" w:rsidRDefault="003B7331" w:rsidP="003B7331">
      <w:pPr>
        <w:pStyle w:val="Observation"/>
      </w:pPr>
      <w:bookmarkStart w:id="25" w:name="_Toc118454793"/>
      <w:r>
        <w:t xml:space="preserve">The latency of event-driven reporting is </w:t>
      </w:r>
      <w:r w:rsidR="001450C4">
        <w:t>typically</w:t>
      </w:r>
      <w:r>
        <w:t xml:space="preserve"> larger than the latency of </w:t>
      </w:r>
      <w:r w:rsidR="00F42DAA">
        <w:t>NW-initiated reporting.</w:t>
      </w:r>
      <w:bookmarkEnd w:id="25"/>
    </w:p>
    <w:p w14:paraId="1F4C13E8" w14:textId="5572D800" w:rsidR="00F42DAA" w:rsidRDefault="00F42DAA" w:rsidP="00F42DAA">
      <w:pPr>
        <w:pStyle w:val="BodyText"/>
      </w:pPr>
      <w:r>
        <w:t>Instead, the benefits of eve</w:t>
      </w:r>
      <w:r w:rsidR="009D2510">
        <w:t>n</w:t>
      </w:r>
      <w:r>
        <w:t>t-driven reporting lie in lower reporting overhead. The report is only sent in the UL when certain conditions are fulfilled, i.e., when the event is triggered:</w:t>
      </w:r>
    </w:p>
    <w:p w14:paraId="7464AE13" w14:textId="695E699C" w:rsidR="00F42DAA" w:rsidRDefault="00F42DAA" w:rsidP="00F42DAA">
      <w:pPr>
        <w:pStyle w:val="Observation"/>
      </w:pPr>
      <w:bookmarkStart w:id="26" w:name="_Toc118454794"/>
      <w:r>
        <w:t>Provided that the event is properly designed, the reporting overhead of event-driven reporting can be lower than NW-initiated reporting.</w:t>
      </w:r>
      <w:bookmarkEnd w:id="26"/>
    </w:p>
    <w:p w14:paraId="51E9527C" w14:textId="08126A59" w:rsidR="009D2B46" w:rsidRDefault="009D2B46" w:rsidP="008019FB">
      <w:pPr>
        <w:pStyle w:val="BodyText"/>
      </w:pPr>
      <w:r>
        <w:t xml:space="preserve">Reducing reporting overhead can be important: if only periodic reporting is used, it is likely that the NW would need one report from each UE every 40ms, and it is not clear that the NW can handle that load. </w:t>
      </w:r>
    </w:p>
    <w:p w14:paraId="33C529E4" w14:textId="60F5D495" w:rsidR="00B62D1B" w:rsidRDefault="00937A91" w:rsidP="008019FB">
      <w:pPr>
        <w:pStyle w:val="BodyText"/>
      </w:pPr>
      <w:r>
        <w:t xml:space="preserve">The framework for event-driven reporting over L3 is quite complex. Many different events are defined, and </w:t>
      </w:r>
      <w:r w:rsidR="00B62D1B">
        <w:t xml:space="preserve">for an event to be triggered, a condition must remain true for </w:t>
      </w:r>
      <w:r w:rsidR="009D2510">
        <w:t>a period</w:t>
      </w:r>
      <w:r w:rsidR="00B62D1B">
        <w:t xml:space="preserve">, the so-called </w:t>
      </w:r>
      <w:r w:rsidR="00B62D1B">
        <w:rPr>
          <w:i/>
          <w:iCs/>
        </w:rPr>
        <w:t xml:space="preserve">time-to-trigger (TTT). </w:t>
      </w:r>
      <w:r w:rsidR="00B62D1B">
        <w:t xml:space="preserve"> The introduction TTT leads to that there may be several ongoing events at the same time, and that we need to define entering and leaving conditions. If RAN1 decides to introduce event-driven reporting, it should not be a copy of the L3 events, since they are far too complicated.</w:t>
      </w:r>
    </w:p>
    <w:p w14:paraId="330F580A" w14:textId="1998DC2A" w:rsidR="00B62D1B" w:rsidRDefault="00B62D1B" w:rsidP="00B62D1B">
      <w:pPr>
        <w:pStyle w:val="Observation"/>
      </w:pPr>
      <w:bookmarkStart w:id="27" w:name="_Toc118454795"/>
      <w:r>
        <w:t xml:space="preserve">The framework for event-driven reporting over L3 is very </w:t>
      </w:r>
      <w:r w:rsidR="009D2510">
        <w:t>complex and</w:t>
      </w:r>
      <w:r>
        <w:t xml:space="preserve"> should not be copied if RAN1 decides to </w:t>
      </w:r>
      <w:r w:rsidR="00F56CE5">
        <w:t>introduce event-driven beam reporting.</w:t>
      </w:r>
      <w:bookmarkEnd w:id="27"/>
    </w:p>
    <w:p w14:paraId="42AB6DDF" w14:textId="7AFBC61C" w:rsidR="00B62D1B" w:rsidRDefault="00471C0A" w:rsidP="008019FB">
      <w:pPr>
        <w:pStyle w:val="BodyText"/>
      </w:pPr>
      <w:r>
        <w:t xml:space="preserve">An illustration on how events is provided in </w:t>
      </w:r>
      <w:r w:rsidR="00A805D4">
        <w:fldChar w:fldCharType="begin"/>
      </w:r>
      <w:r w:rsidR="00A805D4">
        <w:instrText xml:space="preserve"> REF _Ref115361508 \h </w:instrText>
      </w:r>
      <w:r w:rsidR="00A805D4">
        <w:fldChar w:fldCharType="separate"/>
      </w:r>
      <w:r w:rsidR="007B562A">
        <w:t xml:space="preserve">Figure </w:t>
      </w:r>
      <w:r w:rsidR="007B562A">
        <w:rPr>
          <w:noProof/>
        </w:rPr>
        <w:t>2</w:t>
      </w:r>
      <w:r w:rsidR="00A805D4">
        <w:fldChar w:fldCharType="end"/>
      </w:r>
    </w:p>
    <w:p w14:paraId="545BEF5B" w14:textId="1367A49E" w:rsidR="00471C0A" w:rsidRDefault="00A805D4" w:rsidP="00A805D4">
      <w:pPr>
        <w:pStyle w:val="TH"/>
      </w:pPr>
      <w:r>
        <w:rPr>
          <w:noProof/>
        </w:rPr>
        <w:lastRenderedPageBreak/>
        <w:drawing>
          <wp:inline distT="0" distB="0" distL="0" distR="0" wp14:anchorId="0CEFA145" wp14:editId="2C414BE3">
            <wp:extent cx="4171950" cy="2319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5897" cy="2338776"/>
                    </a:xfrm>
                    <a:prstGeom prst="rect">
                      <a:avLst/>
                    </a:prstGeom>
                    <a:noFill/>
                  </pic:spPr>
                </pic:pic>
              </a:graphicData>
            </a:graphic>
          </wp:inline>
        </w:drawing>
      </w:r>
    </w:p>
    <w:p w14:paraId="0A2306A3" w14:textId="5B945350" w:rsidR="00A805D4" w:rsidRDefault="00A805D4" w:rsidP="00A805D4">
      <w:pPr>
        <w:pStyle w:val="TF"/>
      </w:pPr>
      <w:bookmarkStart w:id="28" w:name="_Ref115361508"/>
      <w:r>
        <w:t xml:space="preserve">Figure </w:t>
      </w:r>
      <w:r w:rsidR="007B562A">
        <w:fldChar w:fldCharType="begin"/>
      </w:r>
      <w:r w:rsidR="007B562A">
        <w:instrText xml:space="preserve"> SEQ Figure \* ARABIC </w:instrText>
      </w:r>
      <w:r w:rsidR="007B562A">
        <w:fldChar w:fldCharType="separate"/>
      </w:r>
      <w:r w:rsidR="007B562A">
        <w:rPr>
          <w:noProof/>
        </w:rPr>
        <w:t>2</w:t>
      </w:r>
      <w:r w:rsidR="007B562A">
        <w:rPr>
          <w:noProof/>
        </w:rPr>
        <w:fldChar w:fldCharType="end"/>
      </w:r>
      <w:bookmarkEnd w:id="28"/>
      <w:r>
        <w:t>: An illustration how of the event framework for L3 measurements works.</w:t>
      </w:r>
    </w:p>
    <w:p w14:paraId="368C0215" w14:textId="2BCD31AB" w:rsidR="009D2B46" w:rsidRDefault="009D2B46" w:rsidP="009F3F92">
      <w:pPr>
        <w:pStyle w:val="BodyText"/>
      </w:pPr>
      <w:r>
        <w:t xml:space="preserve">The event-driven framework for L3 measurements contain several different types of events, and each is controlled by a set of parameters, as illustrated in </w:t>
      </w:r>
      <w:r>
        <w:fldChar w:fldCharType="begin"/>
      </w:r>
      <w:r>
        <w:instrText xml:space="preserve"> REF _Ref115361508 \h </w:instrText>
      </w:r>
      <w:r>
        <w:fldChar w:fldCharType="separate"/>
      </w:r>
      <w:r w:rsidR="007B562A">
        <w:t xml:space="preserve">Figure </w:t>
      </w:r>
      <w:r w:rsidR="007B562A">
        <w:rPr>
          <w:noProof/>
        </w:rPr>
        <w:t>2</w:t>
      </w:r>
      <w:r>
        <w:fldChar w:fldCharType="end"/>
      </w:r>
      <w:r>
        <w:t>: multiple thresholds, hysteresis, offsets, TTT. The UE must evaluate many potential events in parallel.</w:t>
      </w:r>
    </w:p>
    <w:p w14:paraId="0319F10B" w14:textId="30D4DCB0" w:rsidR="009D2B46" w:rsidRDefault="009D2B46" w:rsidP="009F3F92">
      <w:pPr>
        <w:pStyle w:val="BodyText"/>
      </w:pPr>
      <w:r>
        <w:t>Considering the significant reduction of reporting overhead and the risk of ending up with an overly complex event-scheme, we propose</w:t>
      </w:r>
    </w:p>
    <w:p w14:paraId="4DA264A0" w14:textId="38CB97D4" w:rsidR="009D2B46" w:rsidRDefault="009D2B46" w:rsidP="009D2B46">
      <w:pPr>
        <w:pStyle w:val="Proposal"/>
      </w:pPr>
      <w:r>
        <w:t xml:space="preserve">  </w:t>
      </w:r>
      <w:bookmarkStart w:id="29" w:name="_Toc118454809"/>
      <w:r>
        <w:t xml:space="preserve">Study </w:t>
      </w:r>
      <w:r w:rsidR="00FD2272">
        <w:t xml:space="preserve">simplified </w:t>
      </w:r>
      <w:r>
        <w:t xml:space="preserve">event-driven reporting </w:t>
      </w:r>
      <w:r w:rsidR="00AF20E4">
        <w:t xml:space="preserve">to assist </w:t>
      </w:r>
      <w:r w:rsidR="00AE217F">
        <w:t>LTM</w:t>
      </w:r>
      <w:r w:rsidR="00AF20E4">
        <w:t xml:space="preserve"> </w:t>
      </w:r>
      <w:r>
        <w:t>over MAC</w:t>
      </w:r>
      <w:r w:rsidR="00FD2272">
        <w:t>.</w:t>
      </w:r>
      <w:bookmarkEnd w:id="29"/>
    </w:p>
    <w:p w14:paraId="4146D9D5" w14:textId="406B1179" w:rsidR="00FD2272" w:rsidRDefault="00FD2272" w:rsidP="00FD2272">
      <w:pPr>
        <w:pStyle w:val="BodyText"/>
      </w:pPr>
      <w:r>
        <w:t xml:space="preserve">We note that events are a natural add-on to reporting over MAC. Additional events can be added late in the WI, or even in Rel-19. </w:t>
      </w:r>
    </w:p>
    <w:p w14:paraId="758356EB" w14:textId="33666345" w:rsidR="009F3F92" w:rsidRPr="00F50626" w:rsidRDefault="009F3F92" w:rsidP="006B7E4B">
      <w:pPr>
        <w:pStyle w:val="Heading2"/>
      </w:pPr>
      <w:r w:rsidRPr="00F50626">
        <w:t>2.</w:t>
      </w:r>
      <w:r w:rsidR="00964601" w:rsidRPr="00F50626">
        <w:t>3</w:t>
      </w:r>
      <w:r w:rsidR="00AC39F7">
        <w:tab/>
      </w:r>
      <w:r w:rsidR="0093465E">
        <w:t>Operations on candidate cells before the cell switch</w:t>
      </w:r>
    </w:p>
    <w:p w14:paraId="73C74175" w14:textId="14A0C160" w:rsidR="00F50626" w:rsidRDefault="00F50626" w:rsidP="00F606BA">
      <w:pPr>
        <w:rPr>
          <w:lang w:val="en-GB" w:eastAsia="ja-JP"/>
        </w:rPr>
      </w:pPr>
      <w:r w:rsidRPr="00F50626">
        <w:rPr>
          <w:lang w:val="en-GB" w:eastAsia="ja-JP"/>
        </w:rPr>
        <w:t>Before accessing the target, the UE must have acquired the DL timing of the target</w:t>
      </w:r>
      <w:r>
        <w:rPr>
          <w:lang w:val="en-GB" w:eastAsia="ja-JP"/>
        </w:rPr>
        <w:t>. In legacy, the UE does this after processing the handover command. In other words, the UE waits until for the next SSB arrives. The same type of requirement applies also for TCI state activation.</w:t>
      </w:r>
      <w:r w:rsidR="00797F1D" w:rsidRPr="00797F1D">
        <w:rPr>
          <w:lang w:val="en-GB" w:eastAsia="ja-JP"/>
        </w:rPr>
        <w:t xml:space="preserve"> </w:t>
      </w:r>
      <w:r w:rsidR="00797F1D">
        <w:rPr>
          <w:lang w:val="en-GB" w:eastAsia="ja-JP"/>
        </w:rPr>
        <w:t xml:space="preserve">To eliminate or significantly reduce the interrupt due to DL synchronization, the UE should acquire the DL synchronization before processing the handover command. </w:t>
      </w:r>
    </w:p>
    <w:p w14:paraId="76274DB9" w14:textId="40EF0831" w:rsidR="00797F1D" w:rsidRDefault="00797F1D" w:rsidP="00F606BA">
      <w:pPr>
        <w:rPr>
          <w:lang w:val="en-GB" w:eastAsia="ja-JP"/>
        </w:rPr>
      </w:pPr>
      <w:r>
        <w:rPr>
          <w:lang w:val="en-GB" w:eastAsia="ja-JP"/>
        </w:rPr>
        <w:t>RAN1 made the following agreement in RAN1#110bis-e:</w:t>
      </w:r>
    </w:p>
    <w:p w14:paraId="065BBEB9" w14:textId="77777777" w:rsidR="006B7E4B" w:rsidRDefault="006B7E4B" w:rsidP="006B7E4B">
      <w:pPr>
        <w:rPr>
          <w:lang w:val="en-GB" w:eastAsia="en-GB"/>
        </w:rPr>
      </w:pPr>
      <w:r w:rsidRPr="006B7E4B">
        <w:rPr>
          <w:noProof/>
          <w:lang w:val="en-GB" w:eastAsia="en-GB"/>
        </w:rPr>
        <mc:AlternateContent>
          <mc:Choice Requires="wps">
            <w:drawing>
              <wp:inline distT="0" distB="0" distL="0" distR="0" wp14:anchorId="08B07A8E" wp14:editId="755A47AA">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CAC1B3C" w14:textId="77777777" w:rsidR="006B7E4B" w:rsidRPr="006B7E4B" w:rsidRDefault="006B7E4B" w:rsidP="006B7E4B">
                            <w:pPr>
                              <w:rPr>
                                <w:rFonts w:ascii="Times" w:eastAsia="DengXian" w:hAnsi="Times" w:cs="Times"/>
                                <w:b/>
                                <w:bCs/>
                                <w:szCs w:val="20"/>
                                <w:highlight w:val="green"/>
                                <w:lang w:eastAsia="zh-CN"/>
                              </w:rPr>
                            </w:pPr>
                            <w:r w:rsidRPr="006B7E4B">
                              <w:rPr>
                                <w:rFonts w:ascii="Times" w:eastAsia="DengXian" w:hAnsi="Times" w:cs="Times"/>
                                <w:b/>
                                <w:bCs/>
                                <w:szCs w:val="20"/>
                                <w:highlight w:val="green"/>
                                <w:lang w:eastAsia="zh-CN"/>
                              </w:rPr>
                              <w:t>Agreement</w:t>
                            </w:r>
                          </w:p>
                          <w:p w14:paraId="119D95A1" w14:textId="77777777" w:rsidR="006B7E4B" w:rsidRPr="009F174C" w:rsidRDefault="006B7E4B" w:rsidP="006B7E4B">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RAN1 to further study the potential RAN1 enhancements and spec impact to perform at least the following procedures prior to the reception of L1/L2 cell switch command aiming at the reduction of handover delay / interruption</w:t>
                            </w:r>
                          </w:p>
                          <w:p w14:paraId="65820A3E"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DL synchronization for candidate cell(s)</w:t>
                            </w:r>
                          </w:p>
                          <w:p w14:paraId="48CFD4AC"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TRS tracking for candidate cell(s)</w:t>
                            </w:r>
                          </w:p>
                          <w:p w14:paraId="681EB6C1"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CSI acquisition for candidate cell(s)</w:t>
                            </w:r>
                          </w:p>
                          <w:p w14:paraId="7D55F602"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Activation/Selection of TCI states for candidate cell(s), if feasible</w:t>
                            </w:r>
                          </w:p>
                          <w:p w14:paraId="65CB9A25"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Note: Uplink synchronization aspect will not be discussed under this A.I.</w:t>
                            </w:r>
                          </w:p>
                          <w:p w14:paraId="4EE55B2D"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FFS: Whether the above procedures prior to the reception of L1/L2 cell switch command can be performed on candidate cell when it is deactivated SCell (if defined in RAN2)</w:t>
                            </w:r>
                          </w:p>
                          <w:p w14:paraId="4FE7B01A" w14:textId="77777777" w:rsidR="006B7E4B" w:rsidRPr="006B7E4B" w:rsidRDefault="006B7E4B" w:rsidP="006B7E4B">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Detailed discussion will be commenced after receiving RAN2 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B07A8E" id="Text Box 4"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1CAC1B3C" w14:textId="77777777" w:rsidR="006B7E4B" w:rsidRPr="006B7E4B" w:rsidRDefault="006B7E4B" w:rsidP="006B7E4B">
                      <w:pPr>
                        <w:rPr>
                          <w:rFonts w:ascii="Times" w:eastAsia="DengXian" w:hAnsi="Times" w:cs="Times"/>
                          <w:b/>
                          <w:bCs/>
                          <w:szCs w:val="20"/>
                          <w:highlight w:val="green"/>
                          <w:lang w:eastAsia="zh-CN"/>
                        </w:rPr>
                      </w:pPr>
                      <w:r w:rsidRPr="006B7E4B">
                        <w:rPr>
                          <w:rFonts w:ascii="Times" w:eastAsia="DengXian" w:hAnsi="Times" w:cs="Times"/>
                          <w:b/>
                          <w:bCs/>
                          <w:szCs w:val="20"/>
                          <w:highlight w:val="green"/>
                          <w:lang w:eastAsia="zh-CN"/>
                        </w:rPr>
                        <w:t>Agreement</w:t>
                      </w:r>
                    </w:p>
                    <w:p w14:paraId="119D95A1" w14:textId="77777777" w:rsidR="006B7E4B" w:rsidRPr="009F174C" w:rsidRDefault="006B7E4B" w:rsidP="006B7E4B">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RAN1 to further study the potential RAN1 enhancements and spec impact to perform at least the following procedures prior to the reception of L1/L2 cell switch command aiming at the reduction of handover delay / interruption</w:t>
                      </w:r>
                    </w:p>
                    <w:p w14:paraId="65820A3E"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DL synchronization for candidate cell(s)</w:t>
                      </w:r>
                    </w:p>
                    <w:p w14:paraId="48CFD4AC"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TRS tracking for candidate cell(s)</w:t>
                      </w:r>
                    </w:p>
                    <w:p w14:paraId="681EB6C1"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CSI acquisition for candidate cell(s)</w:t>
                      </w:r>
                    </w:p>
                    <w:p w14:paraId="7D55F602"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Activation/Selection of TCI states for candidate cell(s), if feasible</w:t>
                      </w:r>
                    </w:p>
                    <w:p w14:paraId="65CB9A25"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Note: Uplink synchronization aspect will not be discussed under this A.I.</w:t>
                      </w:r>
                    </w:p>
                    <w:p w14:paraId="4EE55B2D" w14:textId="77777777" w:rsidR="006B7E4B" w:rsidRPr="009F174C" w:rsidRDefault="006B7E4B" w:rsidP="006B7E4B">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FFS: Whether the above procedures prior to the reception of L1/L2 cell switch command can be performed on candidate cell when it is deactivated SCell (if defined in RAN2)</w:t>
                      </w:r>
                    </w:p>
                    <w:p w14:paraId="4FE7B01A" w14:textId="77777777" w:rsidR="006B7E4B" w:rsidRPr="006B7E4B" w:rsidRDefault="006B7E4B" w:rsidP="006B7E4B">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9F174C">
                        <w:rPr>
                          <w:rFonts w:ascii="Times" w:eastAsia="Microsoft YaHei UI" w:hAnsi="Times" w:cs="Times"/>
                          <w:sz w:val="20"/>
                          <w:szCs w:val="20"/>
                        </w:rPr>
                        <w:t>Detailed discussion will be commenced after receiving RAN2 LS.</w:t>
                      </w:r>
                    </w:p>
                  </w:txbxContent>
                </v:textbox>
                <w10:anchorlock/>
              </v:shape>
            </w:pict>
          </mc:Fallback>
        </mc:AlternateContent>
      </w:r>
    </w:p>
    <w:p w14:paraId="046A9BBA" w14:textId="40E03DD4" w:rsidR="00E25A9A" w:rsidRDefault="00797F1D" w:rsidP="00F606BA">
      <w:pPr>
        <w:rPr>
          <w:lang w:val="en-GB" w:eastAsia="ja-JP"/>
        </w:rPr>
      </w:pPr>
      <w:r>
        <w:rPr>
          <w:lang w:val="en-GB" w:eastAsia="ja-JP"/>
        </w:rPr>
        <w:t>To start the communication with the target, the UE needs to acquire DL synchronization.</w:t>
      </w:r>
      <w:r w:rsidR="009F3BC5">
        <w:rPr>
          <w:lang w:val="en-GB" w:eastAsia="ja-JP"/>
        </w:rPr>
        <w:t xml:space="preserve"> In fact, the UE has already acquired DL synchronization to a target to perform the measurement. In legacy, the UE discards this </w:t>
      </w:r>
      <w:r w:rsidR="009F3BC5">
        <w:rPr>
          <w:lang w:val="en-GB" w:eastAsia="ja-JP"/>
        </w:rPr>
        <w:lastRenderedPageBreak/>
        <w:t>synchronization information when it has performed the measurement</w:t>
      </w:r>
      <w:r w:rsidR="00E25A9A">
        <w:rPr>
          <w:lang w:val="en-GB" w:eastAsia="ja-JP"/>
        </w:rPr>
        <w:t>. Once the handover is executed to that target, the UE reacquires the DL synchronization:</w:t>
      </w:r>
    </w:p>
    <w:p w14:paraId="0A46C326" w14:textId="75B0B81E" w:rsidR="009F3F92" w:rsidRPr="00E25A9A" w:rsidRDefault="00E25A9A" w:rsidP="00E25A9A">
      <w:pPr>
        <w:pStyle w:val="Observation"/>
        <w:rPr>
          <w:lang w:val="en-GB"/>
        </w:rPr>
      </w:pPr>
      <w:bookmarkStart w:id="30" w:name="_Toc118454796"/>
      <w:r w:rsidRPr="00E25A9A">
        <w:rPr>
          <w:lang w:val="en-GB"/>
        </w:rPr>
        <w:t>In legacy, the UE discards the synchronization information it used to perform a measurement once the measurement has been performed.</w:t>
      </w:r>
      <w:bookmarkEnd w:id="30"/>
    </w:p>
    <w:p w14:paraId="73B8F6CC" w14:textId="0B13EE44" w:rsidR="00E25A9A" w:rsidRPr="00E25A9A" w:rsidRDefault="00E25A9A" w:rsidP="00E25A9A">
      <w:pPr>
        <w:rPr>
          <w:lang w:val="en-GB"/>
        </w:rPr>
      </w:pPr>
      <w:r w:rsidRPr="00E25A9A">
        <w:rPr>
          <w:lang w:val="en-GB"/>
        </w:rPr>
        <w:t>If the UE could remember the synchronization information of any RSs it has reported, at least for some time, it would be possible to avoid DL synchronization delay, at least for some RS:</w:t>
      </w:r>
    </w:p>
    <w:p w14:paraId="19E0E72C" w14:textId="6795D474" w:rsidR="00E25A9A" w:rsidRPr="00E25A9A" w:rsidRDefault="00E25A9A" w:rsidP="00E25A9A">
      <w:pPr>
        <w:pStyle w:val="Observation"/>
        <w:snapToGrid w:val="0"/>
        <w:jc w:val="left"/>
        <w:rPr>
          <w:lang w:val="en-GB"/>
        </w:rPr>
      </w:pPr>
      <w:bookmarkStart w:id="31" w:name="_Toc68630173"/>
      <w:bookmarkStart w:id="32" w:name="_Toc118454797"/>
      <w:r w:rsidRPr="00E25A9A">
        <w:rPr>
          <w:lang w:val="en-GB"/>
        </w:rPr>
        <w:t xml:space="preserve">If the UE would store the QCL properties of the RSs on which it has performed beam management measurements, the activation delay could be avoided. It would be sufficient if the UE stored the QCL properties for a small number of RSs for a limited </w:t>
      </w:r>
      <w:r w:rsidR="00797F1D" w:rsidRPr="00E25A9A">
        <w:rPr>
          <w:lang w:val="en-GB"/>
        </w:rPr>
        <w:t>period</w:t>
      </w:r>
      <w:r w:rsidRPr="00E25A9A">
        <w:rPr>
          <w:lang w:val="en-GB"/>
        </w:rPr>
        <w:t>.</w:t>
      </w:r>
      <w:bookmarkEnd w:id="31"/>
      <w:bookmarkEnd w:id="32"/>
    </w:p>
    <w:p w14:paraId="5BB60AFD" w14:textId="77777777" w:rsidR="009F3F92" w:rsidRPr="00E25A9A" w:rsidRDefault="009F3F92" w:rsidP="009F3F92">
      <w:pPr>
        <w:rPr>
          <w:lang w:val="en-GB"/>
        </w:rPr>
      </w:pPr>
      <w:r w:rsidRPr="00E25A9A">
        <w:rPr>
          <w:lang w:val="en-GB"/>
        </w:rPr>
        <w:t xml:space="preserve">We thus propose </w:t>
      </w:r>
    </w:p>
    <w:p w14:paraId="71D07029" w14:textId="17944964" w:rsidR="009F3F92" w:rsidRDefault="009F3F92" w:rsidP="009F3F92">
      <w:pPr>
        <w:pStyle w:val="Proposal"/>
        <w:tabs>
          <w:tab w:val="clear" w:pos="1304"/>
        </w:tabs>
        <w:snapToGrid w:val="0"/>
        <w:ind w:left="1701" w:hanging="1701"/>
        <w:jc w:val="left"/>
        <w:rPr>
          <w:lang w:val="en-GB"/>
        </w:rPr>
      </w:pPr>
      <w:bookmarkStart w:id="33" w:name="_Ref68530815"/>
      <w:bookmarkStart w:id="34" w:name="_Toc68630205"/>
      <w:bookmarkStart w:id="35" w:name="_Toc118454810"/>
      <w:r w:rsidRPr="00E25A9A">
        <w:rPr>
          <w:lang w:val="en-GB"/>
        </w:rPr>
        <w:t xml:space="preserve">The UE can be configured to store the QCL properties of a subset of the RSs it has reported for a limited </w:t>
      </w:r>
      <w:r w:rsidR="002D421B" w:rsidRPr="00E25A9A">
        <w:rPr>
          <w:lang w:val="en-GB"/>
        </w:rPr>
        <w:t>period</w:t>
      </w:r>
      <w:r w:rsidRPr="00E25A9A">
        <w:rPr>
          <w:lang w:val="en-GB"/>
        </w:rPr>
        <w:t>.</w:t>
      </w:r>
      <w:bookmarkEnd w:id="33"/>
      <w:bookmarkEnd w:id="34"/>
      <w:bookmarkEnd w:id="35"/>
    </w:p>
    <w:p w14:paraId="2ED049C9" w14:textId="3EFAE92E" w:rsidR="00797F1D" w:rsidRDefault="00797F1D" w:rsidP="00797F1D">
      <w:pPr>
        <w:rPr>
          <w:lang w:val="en-GB"/>
        </w:rPr>
      </w:pPr>
      <w:r>
        <w:rPr>
          <w:lang w:val="en-GB"/>
        </w:rPr>
        <w:t>Of the topics in the agreement above, achieving DL synchronization prior to the cell-switch is the most important issue. For the other cases, we have the following comments:</w:t>
      </w:r>
    </w:p>
    <w:p w14:paraId="3AD058C3" w14:textId="1EEE5718" w:rsidR="00797F1D" w:rsidRDefault="00797F1D" w:rsidP="00797F1D">
      <w:pPr>
        <w:pStyle w:val="ListBullet"/>
        <w:rPr>
          <w:lang w:val="en-GB"/>
        </w:rPr>
      </w:pPr>
      <w:r>
        <w:rPr>
          <w:lang w:val="en-GB"/>
        </w:rPr>
        <w:t>TRS tracking: The UE uses the TRS to improve channel estimation, which improves demodulation performance. However, the UE is capable of demodulating PDCCH and PDSCH also without assistance from a TRS. In fact, the performance benefits of TRS are not huge, as shown in</w:t>
      </w:r>
      <w:r w:rsidR="004A48C5">
        <w:rPr>
          <w:lang w:val="en-GB"/>
        </w:rPr>
        <w:t> </w:t>
      </w:r>
      <w:r w:rsidR="004A48C5">
        <w:rPr>
          <w:lang w:val="en-GB"/>
        </w:rPr>
        <w:fldChar w:fldCharType="begin"/>
      </w:r>
      <w:r w:rsidR="004A48C5">
        <w:rPr>
          <w:lang w:val="en-GB"/>
        </w:rPr>
        <w:instrText xml:space="preserve"> REF _Ref118213571 \r \h </w:instrText>
      </w:r>
      <w:r w:rsidR="004A48C5">
        <w:rPr>
          <w:lang w:val="en-GB"/>
        </w:rPr>
      </w:r>
      <w:r w:rsidR="004A48C5">
        <w:rPr>
          <w:lang w:val="en-GB"/>
        </w:rPr>
        <w:fldChar w:fldCharType="separate"/>
      </w:r>
      <w:r w:rsidR="007B562A">
        <w:rPr>
          <w:lang w:val="en-GB"/>
        </w:rPr>
        <w:t>[5]</w:t>
      </w:r>
      <w:r w:rsidR="004A48C5">
        <w:rPr>
          <w:lang w:val="en-GB"/>
        </w:rPr>
        <w:fldChar w:fldCharType="end"/>
      </w:r>
      <w:r>
        <w:rPr>
          <w:lang w:val="en-GB"/>
        </w:rPr>
        <w:t>. Hence, it would not seem important to require that the UE performs TRS tracking of the candidate before the cell-switch.</w:t>
      </w:r>
    </w:p>
    <w:p w14:paraId="11276323" w14:textId="30322520" w:rsidR="00797F1D" w:rsidRDefault="00797F1D" w:rsidP="00797F1D">
      <w:pPr>
        <w:pStyle w:val="ListBullet"/>
        <w:rPr>
          <w:lang w:val="en-GB"/>
        </w:rPr>
      </w:pPr>
      <w:r>
        <w:rPr>
          <w:lang w:val="en-GB"/>
        </w:rPr>
        <w:t xml:space="preserve">CSI acquisition: Without </w:t>
      </w:r>
      <w:r w:rsidR="00DF37BC">
        <w:rPr>
          <w:lang w:val="en-GB"/>
        </w:rPr>
        <w:t xml:space="preserve">access to CSI measurement for the candidate, the NW would have to operate without CSI until the first report is received over the target. Here we note that the RSRP report </w:t>
      </w:r>
      <w:r w:rsidR="007F6BEA">
        <w:rPr>
          <w:lang w:val="en-GB"/>
        </w:rPr>
        <w:t>of the candidate can be used for initial choice of MCS. If the UE can provide additional information, e.g., on the interference situation, before the cell-switch performance can be improved.</w:t>
      </w:r>
    </w:p>
    <w:p w14:paraId="0EC71245" w14:textId="5CDBC7B3" w:rsidR="007F6BEA" w:rsidRPr="00797F1D" w:rsidRDefault="007F6BEA" w:rsidP="00797F1D">
      <w:pPr>
        <w:pStyle w:val="ListBullet"/>
        <w:rPr>
          <w:lang w:val="en-GB"/>
        </w:rPr>
      </w:pPr>
      <w:r>
        <w:rPr>
          <w:lang w:val="en-GB"/>
        </w:rPr>
        <w:t>Activation/selection of TCI states: As discussed in section 2.1, the beam indication provides information corresponding to the TCI states. This implies that the NW has already selected a suitable TCI state. In our understanding, there is no specification impact of this.</w:t>
      </w:r>
    </w:p>
    <w:p w14:paraId="69D5A289" w14:textId="4B91601C" w:rsidR="006B7E4B" w:rsidRDefault="006B7E4B" w:rsidP="006B7E4B">
      <w:pPr>
        <w:pStyle w:val="Heading2"/>
      </w:pPr>
      <w:r>
        <w:t>2.4</w:t>
      </w:r>
      <w:r>
        <w:tab/>
        <w:t>Discussion of the RAN2 LS</w:t>
      </w:r>
    </w:p>
    <w:p w14:paraId="2320EBA4" w14:textId="03EA37BC" w:rsidR="004570D8" w:rsidRDefault="007F6BEA" w:rsidP="004570D8">
      <w:pPr>
        <w:rPr>
          <w:lang w:val="en-GB" w:eastAsia="ja-JP"/>
        </w:rPr>
      </w:pPr>
      <w:r>
        <w:rPr>
          <w:lang w:val="en-GB" w:eastAsia="ja-JP"/>
        </w:rPr>
        <w:t xml:space="preserve">In </w:t>
      </w:r>
      <w:r>
        <w:rPr>
          <w:lang w:val="en-GB" w:eastAsia="ja-JP"/>
        </w:rPr>
        <w:fldChar w:fldCharType="begin"/>
      </w:r>
      <w:r>
        <w:rPr>
          <w:lang w:val="en-GB" w:eastAsia="ja-JP"/>
        </w:rPr>
        <w:instrText xml:space="preserve"> REF _Ref118192366 \r \h </w:instrText>
      </w:r>
      <w:r>
        <w:rPr>
          <w:lang w:val="en-GB" w:eastAsia="ja-JP"/>
        </w:rPr>
      </w:r>
      <w:r>
        <w:rPr>
          <w:lang w:val="en-GB" w:eastAsia="ja-JP"/>
        </w:rPr>
        <w:fldChar w:fldCharType="separate"/>
      </w:r>
      <w:r w:rsidR="007B562A">
        <w:rPr>
          <w:lang w:val="en-GB" w:eastAsia="ja-JP"/>
        </w:rPr>
        <w:t>[4]</w:t>
      </w:r>
      <w:r>
        <w:rPr>
          <w:lang w:val="en-GB" w:eastAsia="ja-JP"/>
        </w:rPr>
        <w:fldChar w:fldCharType="end"/>
      </w:r>
      <w:r>
        <w:rPr>
          <w:lang w:val="en-GB" w:eastAsia="ja-JP"/>
        </w:rPr>
        <w:t>, RAN2 provides the agreements related to LTM</w:t>
      </w:r>
      <w:r w:rsidR="00F0670A">
        <w:rPr>
          <w:lang w:val="en-GB" w:eastAsia="ja-JP"/>
        </w:rPr>
        <w:t>, and some of the agreements have already been referenced in the preceding sections. Here we will provide additional comments to the agreements with RAN1 relevance:</w:t>
      </w:r>
      <w:r>
        <w:rPr>
          <w:lang w:val="en-GB" w:eastAsia="ja-JP"/>
        </w:rPr>
        <w:t xml:space="preserve"> </w:t>
      </w:r>
    </w:p>
    <w:p w14:paraId="1FE1FC20" w14:textId="2476FC1E" w:rsidR="00F0670A" w:rsidRDefault="00F0670A" w:rsidP="004570D8">
      <w:pPr>
        <w:rPr>
          <w:lang w:val="en-GB" w:eastAsia="ja-JP"/>
        </w:rPr>
      </w:pPr>
      <w:r w:rsidRPr="00F0670A">
        <w:rPr>
          <w:noProof/>
          <w:lang w:val="en-GB" w:eastAsia="ja-JP"/>
        </w:rPr>
        <mc:AlternateContent>
          <mc:Choice Requires="wps">
            <w:drawing>
              <wp:inline distT="0" distB="0" distL="0" distR="0" wp14:anchorId="03B2CC2A" wp14:editId="4AAB348E">
                <wp:extent cx="6120765" cy="639758"/>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D03417B" w14:textId="77777777" w:rsidR="00F0670A" w:rsidRPr="004C4F1C" w:rsidRDefault="00F0670A" w:rsidP="00F0670A">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50F3B6EB" w14:textId="77777777" w:rsidR="00F0670A" w:rsidRPr="004C4F1C" w:rsidRDefault="00F0670A" w:rsidP="00F0670A">
                            <w:pPr>
                              <w:pStyle w:val="Agreement"/>
                              <w:tabs>
                                <w:tab w:val="clear" w:pos="1619"/>
                                <w:tab w:val="num" w:pos="644"/>
                              </w:tabs>
                              <w:ind w:left="644"/>
                              <w:rPr>
                                <w:rFonts w:cs="Arial"/>
                              </w:rPr>
                            </w:pPr>
                            <w:r w:rsidRPr="004C4F1C">
                              <w:rPr>
                                <w:rFonts w:cs="Arial"/>
                              </w:rPr>
                              <w:t xml:space="preserve">RAN2 to use “LTM” as term for the L1/L2-triggered mobility. </w:t>
                            </w:r>
                          </w:p>
                          <w:p w14:paraId="3B92087B" w14:textId="3CB42767" w:rsidR="00F0670A" w:rsidRPr="00F0670A" w:rsidRDefault="00F0670A" w:rsidP="00F0670A">
                            <w:pPr>
                              <w:pStyle w:val="Agreement"/>
                              <w:tabs>
                                <w:tab w:val="clear" w:pos="1619"/>
                                <w:tab w:val="num" w:pos="644"/>
                              </w:tabs>
                              <w:ind w:left="644"/>
                              <w:rPr>
                                <w:rFonts w:cs="Arial"/>
                              </w:rPr>
                            </w:pPr>
                            <w:r w:rsidRPr="004C4F1C">
                              <w:rPr>
                                <w:rFonts w:cs="Arial"/>
                              </w:rPr>
                              <w:t>Use the term “cell switch” for the procedure of triggering change of cells via the LTM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B2CC2A" id="Text Box 10"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0D03417B" w14:textId="77777777" w:rsidR="00F0670A" w:rsidRPr="004C4F1C" w:rsidRDefault="00F0670A" w:rsidP="00F0670A">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50F3B6EB" w14:textId="77777777" w:rsidR="00F0670A" w:rsidRPr="004C4F1C" w:rsidRDefault="00F0670A" w:rsidP="00F0670A">
                      <w:pPr>
                        <w:pStyle w:val="Agreement"/>
                        <w:tabs>
                          <w:tab w:val="clear" w:pos="1619"/>
                          <w:tab w:val="num" w:pos="644"/>
                        </w:tabs>
                        <w:ind w:left="644"/>
                        <w:rPr>
                          <w:rFonts w:cs="Arial"/>
                        </w:rPr>
                      </w:pPr>
                      <w:r w:rsidRPr="004C4F1C">
                        <w:rPr>
                          <w:rFonts w:cs="Arial"/>
                        </w:rPr>
                        <w:t xml:space="preserve">RAN2 to use “LTM” as term for the L1/L2-triggered mobility. </w:t>
                      </w:r>
                    </w:p>
                    <w:p w14:paraId="3B92087B" w14:textId="3CB42767" w:rsidR="00F0670A" w:rsidRPr="00F0670A" w:rsidRDefault="00F0670A" w:rsidP="00F0670A">
                      <w:pPr>
                        <w:pStyle w:val="Agreement"/>
                        <w:tabs>
                          <w:tab w:val="clear" w:pos="1619"/>
                          <w:tab w:val="num" w:pos="644"/>
                        </w:tabs>
                        <w:ind w:left="644"/>
                        <w:rPr>
                          <w:rFonts w:cs="Arial"/>
                        </w:rPr>
                      </w:pPr>
                      <w:r w:rsidRPr="004C4F1C">
                        <w:rPr>
                          <w:rFonts w:cs="Arial"/>
                        </w:rPr>
                        <w:t>Use the term “cell switch” for the procedure of triggering change of cells via the LTM feature</w:t>
                      </w:r>
                    </w:p>
                  </w:txbxContent>
                </v:textbox>
                <w10:anchorlock/>
              </v:shape>
            </w:pict>
          </mc:Fallback>
        </mc:AlternateContent>
      </w:r>
    </w:p>
    <w:p w14:paraId="51B189C2" w14:textId="1C756163" w:rsidR="004570D8" w:rsidRPr="00F0670A" w:rsidRDefault="00F0670A" w:rsidP="004570D8">
      <w:pPr>
        <w:pStyle w:val="Doc-text2"/>
        <w:ind w:left="0" w:firstLine="0"/>
        <w:rPr>
          <w:rFonts w:eastAsia="PMingLiU" w:cs="Arial"/>
          <w:lang w:val="en-US" w:eastAsia="zh-TW"/>
        </w:rPr>
      </w:pPr>
      <w:r>
        <w:rPr>
          <w:rFonts w:eastAsia="PMingLiU" w:cs="Arial"/>
          <w:lang w:val="en-US" w:eastAsia="zh-TW"/>
        </w:rPr>
        <w:t xml:space="preserve">We use this terminology in our RAN1 </w:t>
      </w:r>
      <w:r w:rsidR="0093465E">
        <w:rPr>
          <w:rFonts w:eastAsia="PMingLiU" w:cs="Arial"/>
          <w:lang w:val="en-US" w:eastAsia="zh-TW"/>
        </w:rPr>
        <w:t>contributions</w:t>
      </w:r>
      <w:r>
        <w:rPr>
          <w:rFonts w:eastAsia="PMingLiU" w:cs="Arial"/>
          <w:lang w:val="en-US" w:eastAsia="zh-TW"/>
        </w:rPr>
        <w:t>.</w:t>
      </w:r>
    </w:p>
    <w:p w14:paraId="479F3593" w14:textId="1B97D19B" w:rsidR="00F0670A" w:rsidRDefault="00F0670A" w:rsidP="004570D8">
      <w:pPr>
        <w:pStyle w:val="Doc-text2"/>
        <w:ind w:left="0" w:firstLine="0"/>
        <w:rPr>
          <w:rFonts w:eastAsia="PMingLiU" w:cs="Arial"/>
          <w:lang w:eastAsia="zh-TW"/>
        </w:rPr>
      </w:pPr>
    </w:p>
    <w:p w14:paraId="2A50ED25" w14:textId="69E4729A" w:rsidR="0093465E" w:rsidRDefault="0093465E" w:rsidP="004570D8">
      <w:pPr>
        <w:pStyle w:val="Doc-text2"/>
        <w:ind w:left="0" w:firstLine="0"/>
        <w:rPr>
          <w:rFonts w:eastAsia="PMingLiU" w:cs="Arial"/>
          <w:lang w:eastAsia="zh-TW"/>
        </w:rPr>
      </w:pPr>
      <w:r w:rsidRPr="0093465E">
        <w:rPr>
          <w:rFonts w:eastAsia="PMingLiU" w:cs="Arial"/>
          <w:noProof/>
          <w:lang w:eastAsia="zh-TW"/>
        </w:rPr>
        <w:lastRenderedPageBreak/>
        <mc:AlternateContent>
          <mc:Choice Requires="wps">
            <w:drawing>
              <wp:inline distT="0" distB="0" distL="0" distR="0" wp14:anchorId="7C0D5FE0" wp14:editId="4788B063">
                <wp:extent cx="6120765" cy="639758"/>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F0D12D3" w14:textId="77777777" w:rsidR="0093465E" w:rsidRPr="00E1101E" w:rsidRDefault="0093465E" w:rsidP="0093465E">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614C97BB" w14:textId="77777777" w:rsidR="0093465E" w:rsidRPr="00E1101E" w:rsidRDefault="0093465E" w:rsidP="0093465E">
                            <w:pPr>
                              <w:pStyle w:val="Agreement"/>
                              <w:tabs>
                                <w:tab w:val="clear" w:pos="1619"/>
                                <w:tab w:val="left" w:pos="644"/>
                              </w:tabs>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5265D0F3"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270DE953"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proofErr w:type="gramStart"/>
                            <w:r w:rsidRPr="00E1101E">
                              <w:rPr>
                                <w:rFonts w:cs="Arial"/>
                              </w:rPr>
                              <w:t>e.g.</w:t>
                            </w:r>
                            <w:proofErr w:type="gramEnd"/>
                            <w:r w:rsidRPr="00E1101E">
                              <w:rPr>
                                <w:rFonts w:cs="Arial" w:hint="eastAsia"/>
                              </w:rPr>
                              <w:t xml:space="preserve"> needed for inter-frequency)</w:t>
                            </w:r>
                            <w:r w:rsidRPr="00E1101E">
                              <w:rPr>
                                <w:rFonts w:cs="Arial"/>
                              </w:rPr>
                              <w:t xml:space="preserve">, baseband retuning </w:t>
                            </w:r>
                          </w:p>
                          <w:p w14:paraId="5BBCCFF8" w14:textId="77777777" w:rsidR="0093465E" w:rsidRPr="00E1101E" w:rsidRDefault="0093465E" w:rsidP="0093465E">
                            <w:pPr>
                              <w:pStyle w:val="Agreement"/>
                              <w:tabs>
                                <w:tab w:val="clear" w:pos="1619"/>
                                <w:tab w:val="left" w:pos="644"/>
                              </w:tabs>
                              <w:ind w:left="644"/>
                              <w:rPr>
                                <w:rFonts w:cs="Arial"/>
                              </w:rPr>
                            </w:pPr>
                            <w:r w:rsidRPr="00E1101E">
                              <w:rPr>
                                <w:rFonts w:cs="Arial"/>
                              </w:rPr>
                              <w:t xml:space="preserve">R2 assumes that the following items may be discussed by RAN1 and RAN4 (and may be scenario specific): </w:t>
                            </w:r>
                          </w:p>
                          <w:p w14:paraId="75834D7C"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49407992"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0D5FE0" id="Text Box 12"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7F0D12D3" w14:textId="77777777" w:rsidR="0093465E" w:rsidRPr="00E1101E" w:rsidRDefault="0093465E" w:rsidP="0093465E">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614C97BB" w14:textId="77777777" w:rsidR="0093465E" w:rsidRPr="00E1101E" w:rsidRDefault="0093465E" w:rsidP="0093465E">
                      <w:pPr>
                        <w:pStyle w:val="Agreement"/>
                        <w:tabs>
                          <w:tab w:val="clear" w:pos="1619"/>
                          <w:tab w:val="left" w:pos="644"/>
                        </w:tabs>
                        <w:ind w:left="644"/>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5265D0F3"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270DE953"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5BBCCFF8" w14:textId="77777777" w:rsidR="0093465E" w:rsidRPr="00E1101E" w:rsidRDefault="0093465E" w:rsidP="0093465E">
                      <w:pPr>
                        <w:pStyle w:val="Agreement"/>
                        <w:tabs>
                          <w:tab w:val="clear" w:pos="1619"/>
                          <w:tab w:val="left" w:pos="644"/>
                        </w:tabs>
                        <w:ind w:left="644"/>
                        <w:rPr>
                          <w:rFonts w:cs="Arial"/>
                        </w:rPr>
                      </w:pPr>
                      <w:r w:rsidRPr="00E1101E">
                        <w:rPr>
                          <w:rFonts w:cs="Arial"/>
                        </w:rPr>
                        <w:t xml:space="preserve">R2 assumes that the following items may be discussed by RAN1 and RAN4 (and may be scenario specific): </w:t>
                      </w:r>
                    </w:p>
                    <w:p w14:paraId="75834D7C"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49407992" w14:textId="77777777" w:rsidR="0093465E" w:rsidRPr="00E1101E" w:rsidRDefault="0093465E" w:rsidP="0093465E">
                      <w:pPr>
                        <w:pStyle w:val="Agreement"/>
                        <w:numPr>
                          <w:ilvl w:val="0"/>
                          <w:numId w:val="0"/>
                        </w:numPr>
                        <w:tabs>
                          <w:tab w:val="left" w:pos="644"/>
                        </w:tabs>
                        <w:ind w:left="644"/>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txbxContent>
                </v:textbox>
                <w10:anchorlock/>
              </v:shape>
            </w:pict>
          </mc:Fallback>
        </mc:AlternateContent>
      </w:r>
    </w:p>
    <w:p w14:paraId="73CE0743" w14:textId="77777777" w:rsidR="00F0670A" w:rsidRDefault="00F0670A" w:rsidP="004570D8">
      <w:pPr>
        <w:pStyle w:val="Doc-text2"/>
        <w:ind w:left="0" w:firstLine="0"/>
        <w:rPr>
          <w:rFonts w:eastAsia="PMingLiU" w:cs="Arial"/>
          <w:lang w:eastAsia="zh-TW"/>
        </w:rPr>
      </w:pPr>
    </w:p>
    <w:p w14:paraId="2901FA57" w14:textId="14B616C4" w:rsidR="004570D8" w:rsidRDefault="0093465E" w:rsidP="0093465E">
      <w:pPr>
        <w:rPr>
          <w:lang w:eastAsia="zh-TW"/>
        </w:rPr>
      </w:pPr>
      <w:r>
        <w:rPr>
          <w:lang w:eastAsia="zh-TW"/>
        </w:rPr>
        <w:t>Here we note that RF retuning for the inter-frequency case may impact the assumption of the application time of the beam indication. However, assuming that the beam indication is transmitted using MAC CE, the normal activation time of 3ms should be sufficient.</w:t>
      </w:r>
    </w:p>
    <w:p w14:paraId="5B562FA8" w14:textId="0762EF1C" w:rsidR="0093465E" w:rsidRDefault="0093465E" w:rsidP="0093465E">
      <w:pPr>
        <w:rPr>
          <w:lang w:eastAsia="zh-TW"/>
        </w:rPr>
      </w:pPr>
      <w:r>
        <w:rPr>
          <w:lang w:eastAsia="zh-TW"/>
        </w:rPr>
        <w:t xml:space="preserve">We are discussing DL synchronization of candidate/target cells before receiving the cell switch command in section 2.3. TRS tracking and CSI measurements are discussed in the same section. </w:t>
      </w:r>
    </w:p>
    <w:p w14:paraId="797BBA4B" w14:textId="1C57B461" w:rsidR="00AC39F7" w:rsidRPr="0093465E" w:rsidRDefault="00AC39F7" w:rsidP="0093465E">
      <w:pPr>
        <w:rPr>
          <w:lang w:eastAsia="zh-TW"/>
        </w:rPr>
      </w:pPr>
      <w:r>
        <w:rPr>
          <w:noProof/>
          <w:lang w:eastAsia="zh-TW"/>
        </w:rPr>
        <mc:AlternateContent>
          <mc:Choice Requires="wps">
            <w:drawing>
              <wp:inline distT="0" distB="0" distL="0" distR="0" wp14:anchorId="6BAFA030" wp14:editId="44DC9E48">
                <wp:extent cx="6120765" cy="639758"/>
                <wp:effectExtent l="0" t="0" r="13335" b="24130"/>
                <wp:docPr id="13" name="Text Box 1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1BDA656" w14:textId="77777777" w:rsidR="00AC39F7" w:rsidRPr="004C4F1C" w:rsidRDefault="00AC39F7" w:rsidP="00AC39F7">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43A32887"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that RAN1 will drive discussions on L1 measurement enhancements, if any. If RAN1 identifies the need for </w:t>
                            </w:r>
                            <w:proofErr w:type="gramStart"/>
                            <w:r w:rsidRPr="004C4F1C">
                              <w:rPr>
                                <w:rFonts w:cs="Arial"/>
                              </w:rPr>
                              <w:t>e.g.</w:t>
                            </w:r>
                            <w:proofErr w:type="gramEnd"/>
                            <w:r w:rsidRPr="004C4F1C">
                              <w:rPr>
                                <w:rFonts w:cs="Arial"/>
                              </w:rPr>
                              <w:t xml:space="preserve"> event reporting, filtering etc, RAN2 can then be involved if needed. </w:t>
                            </w:r>
                          </w:p>
                          <w:p w14:paraId="6556A379" w14:textId="77777777" w:rsidR="00AC39F7" w:rsidRPr="004C4F1C" w:rsidRDefault="00AC39F7" w:rsidP="00AC39F7">
                            <w:pPr>
                              <w:pStyle w:val="Agreement"/>
                              <w:tabs>
                                <w:tab w:val="clear" w:pos="1619"/>
                                <w:tab w:val="num" w:pos="644"/>
                              </w:tabs>
                              <w:ind w:left="644"/>
                              <w:rPr>
                                <w:rFonts w:cs="Arial"/>
                              </w:rPr>
                            </w:pPr>
                            <w:r w:rsidRPr="004C4F1C">
                              <w:rPr>
                                <w:rFonts w:cs="Arial"/>
                              </w:rPr>
                              <w:t>Inter-</w:t>
                            </w:r>
                            <w:proofErr w:type="spellStart"/>
                            <w:r w:rsidRPr="004C4F1C">
                              <w:rPr>
                                <w:rFonts w:cs="Arial"/>
                              </w:rPr>
                              <w:t>freq</w:t>
                            </w:r>
                            <w:proofErr w:type="spellEnd"/>
                            <w:r w:rsidRPr="004C4F1C">
                              <w:rPr>
                                <w:rFonts w:cs="Arial"/>
                              </w:rPr>
                              <w:t xml:space="preserve"> L1L2 mobility: R2 Confirms that For L1L2 mobility inter-</w:t>
                            </w:r>
                            <w:proofErr w:type="spellStart"/>
                            <w:r w:rsidRPr="004C4F1C">
                              <w:rPr>
                                <w:rFonts w:cs="Arial"/>
                              </w:rPr>
                              <w:t>freq</w:t>
                            </w:r>
                            <w:proofErr w:type="spellEnd"/>
                            <w:r w:rsidRPr="004C4F1C">
                              <w:rPr>
                                <w:rFonts w:cs="Arial"/>
                              </w:rPr>
                              <w:t xml:space="preserve"> scenarios in general should be supported (including mobility to inter-frequency cell that is not a current serving cell), including the support of inter-frequency L1 measurements, if feasible by R4 and R1.</w:t>
                            </w:r>
                          </w:p>
                          <w:p w14:paraId="58F573DA" w14:textId="235368DE" w:rsidR="00AC39F7" w:rsidRPr="00AC39F7" w:rsidRDefault="00AC39F7" w:rsidP="00AC39F7">
                            <w:pPr>
                              <w:pStyle w:val="Agreement"/>
                              <w:tabs>
                                <w:tab w:val="clear" w:pos="1619"/>
                                <w:tab w:val="num" w:pos="644"/>
                              </w:tabs>
                              <w:ind w:left="644"/>
                              <w:rPr>
                                <w:rFonts w:cs="Arial"/>
                              </w:rPr>
                            </w:pPr>
                            <w:r w:rsidRPr="004C4F1C">
                              <w:rPr>
                                <w:rFonts w:cs="Arial"/>
                              </w:rPr>
                              <w:t>RAN2 assumes that whether to use the unified TCI framework as the baseline for beam indication for L1L2 mobility is up to RAN1 (RAN2 observes that L1/L2 mobility need to support inter-</w:t>
                            </w:r>
                            <w:proofErr w:type="spellStart"/>
                            <w:r w:rsidRPr="004C4F1C">
                              <w:rPr>
                                <w:rFonts w:cs="Arial"/>
                              </w:rPr>
                              <w:t>freq</w:t>
                            </w:r>
                            <w:proofErr w:type="spellEnd"/>
                            <w:r w:rsidRPr="004C4F1C">
                              <w:rPr>
                                <w:rFonts w:cs="Arial"/>
                              </w:rPr>
                              <w:t xml:space="preserve"> cases).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AFA030" id="Text Box 13"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61BDA656" w14:textId="77777777" w:rsidR="00AC39F7" w:rsidRPr="004C4F1C" w:rsidRDefault="00AC39F7" w:rsidP="00AC39F7">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43A32887"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6556A379" w14:textId="77777777" w:rsidR="00AC39F7" w:rsidRPr="004C4F1C" w:rsidRDefault="00AC39F7" w:rsidP="00AC39F7">
                      <w:pPr>
                        <w:pStyle w:val="Agreement"/>
                        <w:tabs>
                          <w:tab w:val="clear" w:pos="1619"/>
                          <w:tab w:val="num" w:pos="644"/>
                        </w:tabs>
                        <w:ind w:left="644"/>
                        <w:rPr>
                          <w:rFonts w:cs="Arial"/>
                        </w:rPr>
                      </w:pPr>
                      <w:r w:rsidRPr="004C4F1C">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58F573DA" w14:textId="235368DE" w:rsidR="00AC39F7" w:rsidRPr="00AC39F7" w:rsidRDefault="00AC39F7" w:rsidP="00AC39F7">
                      <w:pPr>
                        <w:pStyle w:val="Agreement"/>
                        <w:tabs>
                          <w:tab w:val="clear" w:pos="1619"/>
                          <w:tab w:val="num" w:pos="644"/>
                        </w:tabs>
                        <w:ind w:left="644"/>
                        <w:rPr>
                          <w:rFonts w:cs="Arial"/>
                        </w:rPr>
                      </w:pPr>
                      <w:r w:rsidRPr="004C4F1C">
                        <w:rPr>
                          <w:rFonts w:cs="Arial"/>
                        </w:rPr>
                        <w:t xml:space="preserve">RAN2 assumes that whether to use the unified TCI framework as the baseline for beam indication for L1L2 mobility is up to RAN1 (RAN2 observes that L1/L2 mobility need to support inter-freq cases). </w:t>
                      </w:r>
                    </w:p>
                  </w:txbxContent>
                </v:textbox>
                <w10:anchorlock/>
              </v:shape>
            </w:pict>
          </mc:Fallback>
        </mc:AlternateContent>
      </w:r>
    </w:p>
    <w:p w14:paraId="7B45C741" w14:textId="651C21E5" w:rsidR="004570D8" w:rsidRDefault="00AC39F7" w:rsidP="004570D8">
      <w:pPr>
        <w:pStyle w:val="Doc-text2"/>
        <w:ind w:left="0" w:firstLine="0"/>
        <w:rPr>
          <w:rFonts w:cs="Arial"/>
          <w:lang w:val="en-US"/>
        </w:rPr>
      </w:pPr>
      <w:r>
        <w:rPr>
          <w:rFonts w:cs="Arial"/>
          <w:lang w:val="en-US"/>
        </w:rPr>
        <w:t>This is discussed in this contribution: measurements are discussed in section 2.2 and beam indication and the relation to the TCI framework is discussed in section 2.1.</w:t>
      </w:r>
    </w:p>
    <w:p w14:paraId="246D4B8E" w14:textId="1F0EC60D" w:rsidR="00AC39F7" w:rsidRDefault="00AC39F7" w:rsidP="00AC39F7">
      <w:pPr>
        <w:pStyle w:val="Doc-text2"/>
        <w:ind w:left="0" w:firstLine="0"/>
        <w:rPr>
          <w:lang w:val="en-US" w:eastAsia="zh-TW"/>
        </w:rPr>
      </w:pPr>
    </w:p>
    <w:p w14:paraId="14D09434" w14:textId="3C10F899" w:rsidR="00AC39F7" w:rsidRPr="00AC39F7" w:rsidRDefault="00AC39F7" w:rsidP="00AC39F7">
      <w:pPr>
        <w:pStyle w:val="Doc-text2"/>
        <w:ind w:left="0" w:firstLine="0"/>
        <w:rPr>
          <w:lang w:val="en-US" w:eastAsia="zh-TW"/>
        </w:rPr>
      </w:pPr>
      <w:r w:rsidRPr="00AC39F7">
        <w:rPr>
          <w:noProof/>
          <w:lang w:val="en-US" w:eastAsia="zh-TW"/>
        </w:rPr>
        <mc:AlternateContent>
          <mc:Choice Requires="wps">
            <w:drawing>
              <wp:inline distT="0" distB="0" distL="0" distR="0" wp14:anchorId="721DD155" wp14:editId="044503E1">
                <wp:extent cx="6120765" cy="639758"/>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7B6513B" w14:textId="77777777" w:rsidR="00AC39F7" w:rsidRPr="004C4F1C" w:rsidRDefault="00AC39F7" w:rsidP="00AC39F7">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68572491"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L1/2 mobility trigger information is conveyed in a MAC CE, FFS if the MAC CE or a DCI is used for the actual triggering. </w:t>
                            </w:r>
                          </w:p>
                          <w:p w14:paraId="7222AA3C"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the MAC CE for L1/2 mobility trigger contains at least a candidate configuration index. </w:t>
                            </w:r>
                          </w:p>
                          <w:p w14:paraId="4043D413"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4C4F1C">
                              <w:rPr>
                                <w:rFonts w:cs="Arial"/>
                              </w:rPr>
                              <w:t>RAN1, and</w:t>
                            </w:r>
                            <w:proofErr w:type="gramEnd"/>
                            <w:r w:rsidRPr="004C4F1C">
                              <w:rPr>
                                <w:rFonts w:cs="Arial"/>
                              </w:rPr>
                              <w:t xml:space="preserve"> expect that RAN1 is working on this. </w:t>
                            </w:r>
                          </w:p>
                          <w:p w14:paraId="052BBAB7"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79A6C1D6" w14:textId="77777777" w:rsidR="00AC39F7" w:rsidRPr="004C4F1C" w:rsidRDefault="00AC39F7" w:rsidP="00AC39F7">
                            <w:pPr>
                              <w:pStyle w:val="Agreement"/>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20D23A34" w14:textId="70A55838" w:rsidR="00AC39F7" w:rsidRPr="00AC39F7" w:rsidRDefault="00AC39F7" w:rsidP="00AC39F7">
                            <w:pPr>
                              <w:pStyle w:val="Agreement"/>
                              <w:numPr>
                                <w:ilvl w:val="0"/>
                                <w:numId w:val="0"/>
                              </w:numPr>
                              <w:ind w:left="1619" w:hanging="360"/>
                              <w:rPr>
                                <w:rFonts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1DD155" id="Text Box 14"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37B6513B" w14:textId="77777777" w:rsidR="00AC39F7" w:rsidRPr="004C4F1C" w:rsidRDefault="00AC39F7" w:rsidP="00AC39F7">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68572491"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L1/2 mobility trigger information is conveyed in a MAC CE, FFS if the MAC CE or a DCI is used for the actual triggering. </w:t>
                      </w:r>
                    </w:p>
                    <w:p w14:paraId="7222AA3C"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the MAC CE for L1/2 mobility trigger contains at least a candidate configuration index. </w:t>
                      </w:r>
                    </w:p>
                    <w:p w14:paraId="4043D413"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52BBAB7" w14:textId="77777777" w:rsidR="00AC39F7" w:rsidRPr="004C4F1C" w:rsidRDefault="00AC39F7" w:rsidP="00AC39F7">
                      <w:pPr>
                        <w:pStyle w:val="Agreement"/>
                        <w:tabs>
                          <w:tab w:val="clear" w:pos="1619"/>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79A6C1D6" w14:textId="77777777" w:rsidR="00AC39F7" w:rsidRPr="004C4F1C" w:rsidRDefault="00AC39F7" w:rsidP="00AC39F7">
                      <w:pPr>
                        <w:pStyle w:val="Agreement"/>
                        <w:tabs>
                          <w:tab w:val="clear" w:pos="1619"/>
                          <w:tab w:val="num" w:pos="644"/>
                        </w:tabs>
                        <w:ind w:left="644"/>
                        <w:rPr>
                          <w:rFonts w:cs="Arial"/>
                        </w:rPr>
                      </w:pPr>
                      <w:r w:rsidRPr="004C4F1C">
                        <w:rPr>
                          <w:rFonts w:cs="Arial"/>
                        </w:rPr>
                        <w:t>FFS if the MAC CE can indicate TCI state(s) (or other beam info) to activate for the target Cell(s), dep on RAN1 progress.</w:t>
                      </w:r>
                    </w:p>
                    <w:p w14:paraId="20D23A34" w14:textId="70A55838" w:rsidR="00AC39F7" w:rsidRPr="00AC39F7" w:rsidRDefault="00AC39F7" w:rsidP="00AC39F7">
                      <w:pPr>
                        <w:pStyle w:val="Agreement"/>
                        <w:numPr>
                          <w:ilvl w:val="0"/>
                          <w:numId w:val="0"/>
                        </w:numPr>
                        <w:ind w:left="1619" w:hanging="360"/>
                        <w:rPr>
                          <w:rFonts w:cs="Arial"/>
                        </w:rPr>
                      </w:pPr>
                    </w:p>
                  </w:txbxContent>
                </v:textbox>
                <w10:anchorlock/>
              </v:shape>
            </w:pict>
          </mc:Fallback>
        </mc:AlternateContent>
      </w:r>
    </w:p>
    <w:p w14:paraId="06E063AE" w14:textId="77777777" w:rsidR="00AC39F7" w:rsidRPr="00AC39F7" w:rsidRDefault="00AC39F7" w:rsidP="00AC39F7">
      <w:pPr>
        <w:pStyle w:val="Doc-text2"/>
        <w:rPr>
          <w:lang w:val="en-US" w:eastAsia="zh-TW"/>
        </w:rPr>
      </w:pPr>
    </w:p>
    <w:p w14:paraId="3880CCFD" w14:textId="07EFFC0D" w:rsidR="004570D8" w:rsidRDefault="003E7610" w:rsidP="004570D8">
      <w:pPr>
        <w:rPr>
          <w:lang w:val="en-GB" w:eastAsia="ja-JP"/>
        </w:rPr>
      </w:pPr>
      <w:r>
        <w:rPr>
          <w:lang w:val="en-GB" w:eastAsia="ja-JP"/>
        </w:rPr>
        <w:t xml:space="preserve">The issues on the L1/2 mobility trigger information were discussed in section 2.1. We are using the agreements as basis for </w:t>
      </w:r>
      <w:r>
        <w:rPr>
          <w:lang w:val="en-GB" w:eastAsia="ja-JP"/>
        </w:rPr>
        <w:fldChar w:fldCharType="begin"/>
      </w:r>
      <w:r>
        <w:rPr>
          <w:lang w:val="en-GB" w:eastAsia="ja-JP"/>
        </w:rPr>
        <w:instrText xml:space="preserve"> REF _Ref118209970 \r \h </w:instrText>
      </w:r>
      <w:r>
        <w:rPr>
          <w:lang w:val="en-GB" w:eastAsia="ja-JP"/>
        </w:rPr>
      </w:r>
      <w:r>
        <w:rPr>
          <w:lang w:val="en-GB" w:eastAsia="ja-JP"/>
        </w:rPr>
        <w:fldChar w:fldCharType="separate"/>
      </w:r>
      <w:r w:rsidR="007B562A">
        <w:rPr>
          <w:lang w:val="en-GB" w:eastAsia="ja-JP"/>
        </w:rPr>
        <w:t>Proposal 5</w:t>
      </w:r>
      <w:r>
        <w:rPr>
          <w:lang w:val="en-GB" w:eastAsia="ja-JP"/>
        </w:rPr>
        <w:fldChar w:fldCharType="end"/>
      </w:r>
      <w:r>
        <w:rPr>
          <w:lang w:val="en-GB" w:eastAsia="ja-JP"/>
        </w:rPr>
        <w:t xml:space="preserve">. We are also proposing that the MAC CE can indicate beam info, as described in conjunction with </w:t>
      </w:r>
      <w:r>
        <w:rPr>
          <w:lang w:val="en-GB" w:eastAsia="ja-JP"/>
        </w:rPr>
        <w:fldChar w:fldCharType="begin"/>
      </w:r>
      <w:r>
        <w:rPr>
          <w:lang w:val="en-GB" w:eastAsia="ja-JP"/>
        </w:rPr>
        <w:instrText xml:space="preserve"> REF _Ref118191138 \r \h </w:instrText>
      </w:r>
      <w:r>
        <w:rPr>
          <w:lang w:val="en-GB" w:eastAsia="ja-JP"/>
        </w:rPr>
      </w:r>
      <w:r>
        <w:rPr>
          <w:lang w:val="en-GB" w:eastAsia="ja-JP"/>
        </w:rPr>
        <w:fldChar w:fldCharType="separate"/>
      </w:r>
      <w:r w:rsidR="007B562A">
        <w:rPr>
          <w:lang w:val="en-GB" w:eastAsia="ja-JP"/>
        </w:rPr>
        <w:t>Proposal 2</w:t>
      </w:r>
      <w:r>
        <w:rPr>
          <w:lang w:val="en-GB" w:eastAsia="ja-JP"/>
        </w:rPr>
        <w:fldChar w:fldCharType="end"/>
      </w:r>
      <w:r>
        <w:rPr>
          <w:lang w:val="en-GB" w:eastAsia="ja-JP"/>
        </w:rPr>
        <w:t>.</w:t>
      </w:r>
    </w:p>
    <w:p w14:paraId="73CDFE03" w14:textId="7DFC619C" w:rsidR="003E7610" w:rsidRPr="004570D8" w:rsidRDefault="00866F1E" w:rsidP="004570D8">
      <w:pPr>
        <w:rPr>
          <w:lang w:val="en-GB" w:eastAsia="ja-JP"/>
        </w:rPr>
      </w:pPr>
      <w:r>
        <w:rPr>
          <w:lang w:val="en-GB" w:eastAsia="ja-JP"/>
        </w:rPr>
        <w:lastRenderedPageBreak/>
        <w:t xml:space="preserve">On </w:t>
      </w:r>
      <w:r w:rsidR="003C6FA1">
        <w:rPr>
          <w:lang w:val="en-GB" w:eastAsia="ja-JP"/>
        </w:rPr>
        <w:t xml:space="preserve">RACH-based </w:t>
      </w:r>
      <w:r w:rsidR="00F63DA0">
        <w:rPr>
          <w:lang w:val="en-GB" w:eastAsia="ja-JP"/>
        </w:rPr>
        <w:t xml:space="preserve">vs. RACH-less our view corresponds to the </w:t>
      </w:r>
      <w:r w:rsidR="00B02CFB">
        <w:rPr>
          <w:lang w:val="en-GB" w:eastAsia="ja-JP"/>
        </w:rPr>
        <w:t xml:space="preserve">RAN2 </w:t>
      </w:r>
      <w:r w:rsidR="00F63DA0">
        <w:rPr>
          <w:lang w:val="en-GB" w:eastAsia="ja-JP"/>
        </w:rPr>
        <w:t xml:space="preserve">assumption that both are </w:t>
      </w:r>
      <w:r w:rsidR="00914BE7">
        <w:rPr>
          <w:lang w:val="en-GB" w:eastAsia="ja-JP"/>
        </w:rPr>
        <w:t xml:space="preserve">supported. This is further discussed in </w:t>
      </w:r>
      <w:r w:rsidR="00B02CFB">
        <w:rPr>
          <w:lang w:val="en-GB" w:eastAsia="ja-JP"/>
        </w:rPr>
        <w:fldChar w:fldCharType="begin"/>
      </w:r>
      <w:r w:rsidR="00B02CFB">
        <w:rPr>
          <w:lang w:val="en-GB" w:eastAsia="ja-JP"/>
        </w:rPr>
        <w:instrText xml:space="preserve"> REF _Ref114839978 \r \h </w:instrText>
      </w:r>
      <w:r w:rsidR="00B02CFB">
        <w:rPr>
          <w:lang w:val="en-GB" w:eastAsia="ja-JP"/>
        </w:rPr>
      </w:r>
      <w:r w:rsidR="00B02CFB">
        <w:rPr>
          <w:lang w:val="en-GB" w:eastAsia="ja-JP"/>
        </w:rPr>
        <w:fldChar w:fldCharType="separate"/>
      </w:r>
      <w:r w:rsidR="00B02CFB">
        <w:rPr>
          <w:lang w:val="en-GB" w:eastAsia="ja-JP"/>
        </w:rPr>
        <w:t>[3]</w:t>
      </w:r>
      <w:r w:rsidR="00B02CFB">
        <w:rPr>
          <w:lang w:val="en-GB" w:eastAsia="ja-JP"/>
        </w:rPr>
        <w:fldChar w:fldCharType="end"/>
      </w:r>
      <w:r w:rsidR="00B02CFB">
        <w:rPr>
          <w:lang w:val="en-GB" w:eastAsia="ja-JP"/>
        </w:rPr>
        <w:t>. Also</w:t>
      </w:r>
      <w:r w:rsidR="006C39E5">
        <w:rPr>
          <w:lang w:val="en-GB" w:eastAsia="ja-JP"/>
        </w:rPr>
        <w:t xml:space="preserve">, the assumption that the RACH resources for </w:t>
      </w:r>
      <w:r w:rsidR="00CA3223">
        <w:rPr>
          <w:lang w:val="en-GB" w:eastAsia="ja-JP"/>
        </w:rPr>
        <w:t>CFRA i</w:t>
      </w:r>
      <w:r w:rsidR="00A22D54">
        <w:rPr>
          <w:lang w:val="en-GB" w:eastAsia="ja-JP"/>
        </w:rPr>
        <w:t xml:space="preserve">s provided </w:t>
      </w:r>
      <w:r w:rsidR="00A22D54" w:rsidRPr="004C4F1C">
        <w:rPr>
          <w:rFonts w:cs="Arial"/>
        </w:rPr>
        <w:t>in RRC configuration</w:t>
      </w:r>
      <w:r w:rsidR="00A22D54">
        <w:rPr>
          <w:lang w:val="en-GB" w:eastAsia="ja-JP"/>
        </w:rPr>
        <w:t xml:space="preserve"> should be fine from RAN1 perspective.</w:t>
      </w: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174E5B" w14:textId="37B60598" w:rsidR="007B562A"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54789" w:history="1">
        <w:r w:rsidR="007B562A" w:rsidRPr="00264191">
          <w:rPr>
            <w:rStyle w:val="Hyperlink"/>
            <w:noProof/>
            <w:lang w:val="en-GB"/>
          </w:rPr>
          <w:t>Observation 1</w:t>
        </w:r>
        <w:r w:rsidR="007B562A">
          <w:rPr>
            <w:rFonts w:asciiTheme="minorHAnsi" w:eastAsiaTheme="minorEastAsia" w:hAnsiTheme="minorHAnsi"/>
            <w:b w:val="0"/>
            <w:noProof/>
            <w:sz w:val="22"/>
            <w:lang w:val="en-SE" w:eastAsia="en-SE"/>
          </w:rPr>
          <w:tab/>
        </w:r>
        <w:r w:rsidR="007B562A" w:rsidRPr="00264191">
          <w:rPr>
            <w:rStyle w:val="Hyperlink"/>
            <w:noProof/>
            <w:lang w:val="en-GB"/>
          </w:rPr>
          <w:t>To reduce DL synchronization time, early RAN4 involvement is crucial.</w:t>
        </w:r>
      </w:hyperlink>
    </w:p>
    <w:p w14:paraId="01259B4E" w14:textId="17EF6440"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0" w:history="1">
        <w:r w:rsidR="007B562A" w:rsidRPr="00264191">
          <w:rPr>
            <w:rStyle w:val="Hyperlink"/>
            <w:noProof/>
            <w:lang w:val="en-GB"/>
          </w:rPr>
          <w:t>Observation 2</w:t>
        </w:r>
        <w:r w:rsidR="007B562A">
          <w:rPr>
            <w:rFonts w:asciiTheme="minorHAnsi" w:eastAsiaTheme="minorEastAsia" w:hAnsiTheme="minorHAnsi"/>
            <w:b w:val="0"/>
            <w:noProof/>
            <w:sz w:val="22"/>
            <w:lang w:val="en-SE" w:eastAsia="en-SE"/>
          </w:rPr>
          <w:tab/>
        </w:r>
        <w:r w:rsidR="007B562A" w:rsidRPr="00264191">
          <w:rPr>
            <w:rStyle w:val="Hyperlink"/>
            <w:noProof/>
            <w:lang w:val="en-GB"/>
          </w:rPr>
          <w:t>It is difficult to extend the Rel-17 ICBM to work across DUs.</w:t>
        </w:r>
      </w:hyperlink>
    </w:p>
    <w:p w14:paraId="1AC3B330" w14:textId="65E18D69"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1" w:history="1">
        <w:r w:rsidR="007B562A" w:rsidRPr="00264191">
          <w:rPr>
            <w:rStyle w:val="Hyperlink"/>
            <w:noProof/>
            <w:lang w:val="en-GB"/>
          </w:rPr>
          <w:t>Observation 3</w:t>
        </w:r>
        <w:r w:rsidR="007B562A">
          <w:rPr>
            <w:rFonts w:asciiTheme="minorHAnsi" w:eastAsiaTheme="minorEastAsia" w:hAnsiTheme="minorHAnsi"/>
            <w:b w:val="0"/>
            <w:noProof/>
            <w:sz w:val="22"/>
            <w:lang w:val="en-SE" w:eastAsia="en-SE"/>
          </w:rPr>
          <w:tab/>
        </w:r>
        <w:r w:rsidR="007B562A" w:rsidRPr="00264191">
          <w:rPr>
            <w:rStyle w:val="Hyperlink"/>
            <w:noProof/>
            <w:lang w:val="en-GB"/>
          </w:rPr>
          <w:t>The legacy handover functionality relies on reference signals directly to communicate with the new cell.</w:t>
        </w:r>
      </w:hyperlink>
    </w:p>
    <w:p w14:paraId="60BE0696" w14:textId="6DA074A4"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2" w:history="1">
        <w:r w:rsidR="007B562A" w:rsidRPr="00264191">
          <w:rPr>
            <w:rStyle w:val="Hyperlink"/>
            <w:noProof/>
          </w:rPr>
          <w:t>Observation 4</w:t>
        </w:r>
        <w:r w:rsidR="007B562A">
          <w:rPr>
            <w:rFonts w:asciiTheme="minorHAnsi" w:eastAsiaTheme="minorEastAsia" w:hAnsiTheme="minorHAnsi"/>
            <w:b w:val="0"/>
            <w:noProof/>
            <w:sz w:val="22"/>
            <w:lang w:val="en-SE" w:eastAsia="en-SE"/>
          </w:rPr>
          <w:tab/>
        </w:r>
        <w:r w:rsidR="007B562A" w:rsidRPr="00264191">
          <w:rPr>
            <w:rStyle w:val="Hyperlink"/>
            <w:noProof/>
          </w:rPr>
          <w:t>One entry in the measurement report would need at least 23 bits.</w:t>
        </w:r>
      </w:hyperlink>
    </w:p>
    <w:p w14:paraId="750F9F23" w14:textId="1E485C2B"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3" w:history="1">
        <w:r w:rsidR="007B562A" w:rsidRPr="00264191">
          <w:rPr>
            <w:rStyle w:val="Hyperlink"/>
            <w:noProof/>
          </w:rPr>
          <w:t>Observation 5</w:t>
        </w:r>
        <w:r w:rsidR="007B562A">
          <w:rPr>
            <w:rFonts w:asciiTheme="minorHAnsi" w:eastAsiaTheme="minorEastAsia" w:hAnsiTheme="minorHAnsi"/>
            <w:b w:val="0"/>
            <w:noProof/>
            <w:sz w:val="22"/>
            <w:lang w:val="en-SE" w:eastAsia="en-SE"/>
          </w:rPr>
          <w:tab/>
        </w:r>
        <w:r w:rsidR="007B562A" w:rsidRPr="00264191">
          <w:rPr>
            <w:rStyle w:val="Hyperlink"/>
            <w:noProof/>
          </w:rPr>
          <w:t>The latency of event-driven reporting is typically larger than the latency of NW-initiated reporting.</w:t>
        </w:r>
      </w:hyperlink>
    </w:p>
    <w:p w14:paraId="735906C9" w14:textId="1FAF58B6"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4" w:history="1">
        <w:r w:rsidR="007B562A" w:rsidRPr="00264191">
          <w:rPr>
            <w:rStyle w:val="Hyperlink"/>
            <w:noProof/>
          </w:rPr>
          <w:t>Observation 6</w:t>
        </w:r>
        <w:r w:rsidR="007B562A">
          <w:rPr>
            <w:rFonts w:asciiTheme="minorHAnsi" w:eastAsiaTheme="minorEastAsia" w:hAnsiTheme="minorHAnsi"/>
            <w:b w:val="0"/>
            <w:noProof/>
            <w:sz w:val="22"/>
            <w:lang w:val="en-SE" w:eastAsia="en-SE"/>
          </w:rPr>
          <w:tab/>
        </w:r>
        <w:r w:rsidR="007B562A" w:rsidRPr="00264191">
          <w:rPr>
            <w:rStyle w:val="Hyperlink"/>
            <w:noProof/>
          </w:rPr>
          <w:t>Provided that the event is properly designed, the reporting overhead of event-driven reporting can be lower than NW-initiated reporting.</w:t>
        </w:r>
      </w:hyperlink>
    </w:p>
    <w:p w14:paraId="39663DA3" w14:textId="68DAD0FF"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5" w:history="1">
        <w:r w:rsidR="007B562A" w:rsidRPr="00264191">
          <w:rPr>
            <w:rStyle w:val="Hyperlink"/>
            <w:noProof/>
          </w:rPr>
          <w:t>Observation 7</w:t>
        </w:r>
        <w:r w:rsidR="007B562A">
          <w:rPr>
            <w:rFonts w:asciiTheme="minorHAnsi" w:eastAsiaTheme="minorEastAsia" w:hAnsiTheme="minorHAnsi"/>
            <w:b w:val="0"/>
            <w:noProof/>
            <w:sz w:val="22"/>
            <w:lang w:val="en-SE" w:eastAsia="en-SE"/>
          </w:rPr>
          <w:tab/>
        </w:r>
        <w:r w:rsidR="007B562A" w:rsidRPr="00264191">
          <w:rPr>
            <w:rStyle w:val="Hyperlink"/>
            <w:noProof/>
          </w:rPr>
          <w:t>The framework for event-driven reporting over L3 is very complex and should not be copied if RAN1 decides to introduce event-driven beam reporting.</w:t>
        </w:r>
      </w:hyperlink>
    </w:p>
    <w:p w14:paraId="2257705B" w14:textId="20B6D681"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6" w:history="1">
        <w:r w:rsidR="007B562A" w:rsidRPr="00264191">
          <w:rPr>
            <w:rStyle w:val="Hyperlink"/>
            <w:noProof/>
            <w:lang w:val="en-GB"/>
          </w:rPr>
          <w:t>Observation 8</w:t>
        </w:r>
        <w:r w:rsidR="007B562A">
          <w:rPr>
            <w:rFonts w:asciiTheme="minorHAnsi" w:eastAsiaTheme="minorEastAsia" w:hAnsiTheme="minorHAnsi"/>
            <w:b w:val="0"/>
            <w:noProof/>
            <w:sz w:val="22"/>
            <w:lang w:val="en-SE" w:eastAsia="en-SE"/>
          </w:rPr>
          <w:tab/>
        </w:r>
        <w:r w:rsidR="007B562A" w:rsidRPr="00264191">
          <w:rPr>
            <w:rStyle w:val="Hyperlink"/>
            <w:noProof/>
            <w:lang w:val="en-GB"/>
          </w:rPr>
          <w:t>In legacy, the UE discards the synchronization information it used to perform a measurement once the measurement has been performed.</w:t>
        </w:r>
      </w:hyperlink>
    </w:p>
    <w:p w14:paraId="0F7E1A3E" w14:textId="0CFA2376"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7" w:history="1">
        <w:r w:rsidR="007B562A" w:rsidRPr="00264191">
          <w:rPr>
            <w:rStyle w:val="Hyperlink"/>
            <w:noProof/>
            <w:lang w:val="en-GB"/>
          </w:rPr>
          <w:t>Observation 9</w:t>
        </w:r>
        <w:r w:rsidR="007B562A">
          <w:rPr>
            <w:rFonts w:asciiTheme="minorHAnsi" w:eastAsiaTheme="minorEastAsia" w:hAnsiTheme="minorHAnsi"/>
            <w:b w:val="0"/>
            <w:noProof/>
            <w:sz w:val="22"/>
            <w:lang w:val="en-SE" w:eastAsia="en-SE"/>
          </w:rPr>
          <w:tab/>
        </w:r>
        <w:r w:rsidR="007B562A" w:rsidRPr="00264191">
          <w:rPr>
            <w:rStyle w:val="Hyperlink"/>
            <w:noProof/>
            <w:lang w:val="en-GB"/>
          </w:rPr>
          <w:t>If the UE would store the QCL properties of the RSs on which it has performed beam management measurements, the activation delay could be avoided. It would be sufficient if the UE stored the QCL properties for a small number of RSs for a limited period.</w:t>
        </w:r>
      </w:hyperlink>
    </w:p>
    <w:p w14:paraId="6225A1B8" w14:textId="73C1856D"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5F658F2" w14:textId="663466EA" w:rsidR="007B562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454798" w:history="1">
        <w:r w:rsidR="007B562A" w:rsidRPr="00E769FC">
          <w:rPr>
            <w:rStyle w:val="Hyperlink"/>
            <w:noProof/>
            <w:lang w:val="en-GB"/>
          </w:rPr>
          <w:t>Proposal 1</w:t>
        </w:r>
        <w:r w:rsidR="007B562A">
          <w:rPr>
            <w:rFonts w:asciiTheme="minorHAnsi" w:eastAsiaTheme="minorEastAsia" w:hAnsiTheme="minorHAnsi"/>
            <w:b w:val="0"/>
            <w:noProof/>
            <w:sz w:val="22"/>
            <w:lang w:val="en-SE" w:eastAsia="en-SE"/>
          </w:rPr>
          <w:tab/>
        </w:r>
        <w:r w:rsidR="007B562A" w:rsidRPr="00E769FC">
          <w:rPr>
            <w:rStyle w:val="Hyperlink"/>
            <w:noProof/>
            <w:lang w:val="en-GB"/>
          </w:rPr>
          <w:t>Support scenario 2: the beam indication is transmitted together with the cell switch command.</w:t>
        </w:r>
      </w:hyperlink>
    </w:p>
    <w:p w14:paraId="26BEF72F" w14:textId="247803D4"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799" w:history="1">
        <w:r w:rsidR="007B562A" w:rsidRPr="00E769FC">
          <w:rPr>
            <w:rStyle w:val="Hyperlink"/>
            <w:noProof/>
            <w:lang w:val="en-GB"/>
          </w:rPr>
          <w:t>Proposal 2</w:t>
        </w:r>
        <w:r w:rsidR="007B562A">
          <w:rPr>
            <w:rFonts w:asciiTheme="minorHAnsi" w:eastAsiaTheme="minorEastAsia" w:hAnsiTheme="minorHAnsi"/>
            <w:b w:val="0"/>
            <w:noProof/>
            <w:sz w:val="22"/>
            <w:lang w:val="en-SE" w:eastAsia="en-SE"/>
          </w:rPr>
          <w:tab/>
        </w:r>
        <w:r w:rsidR="007B562A" w:rsidRPr="00E769FC">
          <w:rPr>
            <w:rStyle w:val="Hyperlink"/>
            <w:noProof/>
            <w:lang w:val="en-GB"/>
          </w:rPr>
          <w:t>The beam indication contains an explicit identifier of a reference signal, which is used to aid DL reception and UL transmission.</w:t>
        </w:r>
      </w:hyperlink>
    </w:p>
    <w:p w14:paraId="071D938E" w14:textId="10A202C1"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0" w:history="1">
        <w:r w:rsidR="007B562A" w:rsidRPr="00E769FC">
          <w:rPr>
            <w:rStyle w:val="Hyperlink"/>
            <w:noProof/>
            <w:lang w:val="en-GB"/>
          </w:rPr>
          <w:t>Proposal 3</w:t>
        </w:r>
        <w:r w:rsidR="007B562A">
          <w:rPr>
            <w:rFonts w:asciiTheme="minorHAnsi" w:eastAsiaTheme="minorEastAsia" w:hAnsiTheme="minorHAnsi"/>
            <w:b w:val="0"/>
            <w:noProof/>
            <w:sz w:val="22"/>
            <w:lang w:val="en-SE" w:eastAsia="en-SE"/>
          </w:rPr>
          <w:tab/>
        </w:r>
        <w:r w:rsidR="007B562A" w:rsidRPr="00E769FC">
          <w:rPr>
            <w:rStyle w:val="Hyperlink"/>
            <w:noProof/>
            <w:lang w:val="en-GB"/>
          </w:rPr>
          <w:t>The beam indication contains a TA value for the target cell.</w:t>
        </w:r>
      </w:hyperlink>
    </w:p>
    <w:p w14:paraId="14B25B05" w14:textId="517DF106"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1" w:history="1">
        <w:r w:rsidR="007B562A" w:rsidRPr="00E769FC">
          <w:rPr>
            <w:rStyle w:val="Hyperlink"/>
            <w:noProof/>
            <w:lang w:val="en-GB"/>
          </w:rPr>
          <w:t>Proposal 4</w:t>
        </w:r>
        <w:r w:rsidR="007B562A">
          <w:rPr>
            <w:rFonts w:asciiTheme="minorHAnsi" w:eastAsiaTheme="minorEastAsia" w:hAnsiTheme="minorHAnsi"/>
            <w:b w:val="0"/>
            <w:noProof/>
            <w:sz w:val="22"/>
            <w:lang w:val="en-SE" w:eastAsia="en-SE"/>
          </w:rPr>
          <w:tab/>
        </w:r>
        <w:r w:rsidR="007B562A" w:rsidRPr="00E769FC">
          <w:rPr>
            <w:rStyle w:val="Hyperlink"/>
            <w:noProof/>
            <w:lang w:val="en-GB"/>
          </w:rPr>
          <w:t>The beam indication contains ID of the active DL and UL BWPs for the target cells.</w:t>
        </w:r>
      </w:hyperlink>
    </w:p>
    <w:p w14:paraId="195A9DA5" w14:textId="411076D5"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2" w:history="1">
        <w:r w:rsidR="007B562A" w:rsidRPr="00E769FC">
          <w:rPr>
            <w:rStyle w:val="Hyperlink"/>
            <w:noProof/>
            <w:lang w:val="en-GB" w:eastAsia="ja-JP"/>
          </w:rPr>
          <w:t>Proposal 5</w:t>
        </w:r>
        <w:r w:rsidR="007B562A">
          <w:rPr>
            <w:rFonts w:asciiTheme="minorHAnsi" w:eastAsiaTheme="minorEastAsia" w:hAnsiTheme="minorHAnsi"/>
            <w:b w:val="0"/>
            <w:noProof/>
            <w:sz w:val="22"/>
            <w:lang w:val="en-SE" w:eastAsia="en-SE"/>
          </w:rPr>
          <w:tab/>
        </w:r>
        <w:r w:rsidR="007B562A" w:rsidRPr="00E769FC">
          <w:rPr>
            <w:rStyle w:val="Hyperlink"/>
            <w:noProof/>
            <w:lang w:val="en-GB"/>
          </w:rPr>
          <w:t xml:space="preserve">The LTM </w:t>
        </w:r>
        <w:r w:rsidR="007B562A" w:rsidRPr="00E769FC">
          <w:rPr>
            <w:rStyle w:val="Hyperlink"/>
            <w:rFonts w:cs="Arial"/>
            <w:noProof/>
          </w:rPr>
          <w:t>mobility trigger information is conveyed in a MAC CE, and the same MAC CE is used for the actual triggering.</w:t>
        </w:r>
      </w:hyperlink>
    </w:p>
    <w:p w14:paraId="445E79B7" w14:textId="64AD4384"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3" w:history="1">
        <w:r w:rsidR="007B562A" w:rsidRPr="00E769FC">
          <w:rPr>
            <w:rStyle w:val="Hyperlink"/>
            <w:noProof/>
          </w:rPr>
          <w:t>Proposal 6</w:t>
        </w:r>
        <w:r w:rsidR="007B562A">
          <w:rPr>
            <w:rFonts w:asciiTheme="minorHAnsi" w:eastAsiaTheme="minorEastAsia" w:hAnsiTheme="minorHAnsi"/>
            <w:b w:val="0"/>
            <w:noProof/>
            <w:sz w:val="22"/>
            <w:lang w:val="en-SE" w:eastAsia="en-SE"/>
          </w:rPr>
          <w:tab/>
        </w:r>
        <w:r w:rsidR="007B562A" w:rsidRPr="00E769FC">
          <w:rPr>
            <w:rStyle w:val="Hyperlink"/>
            <w:noProof/>
          </w:rPr>
          <w:t>The LTM intra-cell measurements on SSB do not require explicit configuration of PCIs, or SSB indices.</w:t>
        </w:r>
      </w:hyperlink>
    </w:p>
    <w:p w14:paraId="777032D9" w14:textId="4554A86A"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4" w:history="1">
        <w:r w:rsidR="007B562A" w:rsidRPr="00E769FC">
          <w:rPr>
            <w:rStyle w:val="Hyperlink"/>
            <w:noProof/>
          </w:rPr>
          <w:t>Proposal 7</w:t>
        </w:r>
        <w:r w:rsidR="007B562A">
          <w:rPr>
            <w:rFonts w:asciiTheme="minorHAnsi" w:eastAsiaTheme="minorEastAsia" w:hAnsiTheme="minorHAnsi"/>
            <w:b w:val="0"/>
            <w:noProof/>
            <w:sz w:val="22"/>
            <w:lang w:val="en-SE" w:eastAsia="en-SE"/>
          </w:rPr>
          <w:tab/>
        </w:r>
        <w:r w:rsidR="007B562A" w:rsidRPr="00E769FC">
          <w:rPr>
            <w:rStyle w:val="Hyperlink"/>
            <w:noProof/>
          </w:rPr>
          <w:t>The LTM inter-cell measurements on SSB only require the configuration of a target frequency.</w:t>
        </w:r>
      </w:hyperlink>
    </w:p>
    <w:p w14:paraId="265BB914" w14:textId="7DADB620"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5" w:history="1">
        <w:r w:rsidR="007B562A" w:rsidRPr="00E769FC">
          <w:rPr>
            <w:rStyle w:val="Hyperlink"/>
            <w:noProof/>
          </w:rPr>
          <w:t>Proposal 8</w:t>
        </w:r>
        <w:r w:rsidR="007B562A">
          <w:rPr>
            <w:rFonts w:asciiTheme="minorHAnsi" w:eastAsiaTheme="minorEastAsia" w:hAnsiTheme="minorHAnsi"/>
            <w:b w:val="0"/>
            <w:noProof/>
            <w:sz w:val="22"/>
            <w:lang w:val="en-SE" w:eastAsia="en-SE"/>
          </w:rPr>
          <w:tab/>
        </w:r>
        <w:r w:rsidR="007B562A" w:rsidRPr="00E769FC">
          <w:rPr>
            <w:rStyle w:val="Hyperlink"/>
            <w:noProof/>
          </w:rPr>
          <w:t>The beam measurement reports to assist LTM include measurement information on serving  and target cells.</w:t>
        </w:r>
      </w:hyperlink>
    </w:p>
    <w:p w14:paraId="27D7ECB0" w14:textId="49BB5074"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6" w:history="1">
        <w:r w:rsidR="007B562A" w:rsidRPr="00E769FC">
          <w:rPr>
            <w:rStyle w:val="Hyperlink"/>
            <w:noProof/>
          </w:rPr>
          <w:t>Proposal 9</w:t>
        </w:r>
        <w:r w:rsidR="007B562A">
          <w:rPr>
            <w:rFonts w:asciiTheme="minorHAnsi" w:eastAsiaTheme="minorEastAsia" w:hAnsiTheme="minorHAnsi"/>
            <w:b w:val="0"/>
            <w:noProof/>
            <w:sz w:val="22"/>
            <w:lang w:val="en-SE" w:eastAsia="en-SE"/>
          </w:rPr>
          <w:tab/>
        </w:r>
        <w:r w:rsidR="007B562A" w:rsidRPr="00E769FC">
          <w:rPr>
            <w:rStyle w:val="Hyperlink"/>
            <w:noProof/>
          </w:rPr>
          <w:t>L1-RSRP is supported for inter-frequency candidate cell measurements.</w:t>
        </w:r>
      </w:hyperlink>
    </w:p>
    <w:p w14:paraId="219FED29" w14:textId="521FB630"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7" w:history="1">
        <w:r w:rsidR="007B562A" w:rsidRPr="00E769FC">
          <w:rPr>
            <w:rStyle w:val="Hyperlink"/>
            <w:noProof/>
          </w:rPr>
          <w:t>Proposal 10</w:t>
        </w:r>
        <w:r w:rsidR="007B562A">
          <w:rPr>
            <w:rFonts w:asciiTheme="minorHAnsi" w:eastAsiaTheme="minorEastAsia" w:hAnsiTheme="minorHAnsi"/>
            <w:b w:val="0"/>
            <w:noProof/>
            <w:sz w:val="22"/>
            <w:lang w:val="en-SE" w:eastAsia="en-SE"/>
          </w:rPr>
          <w:tab/>
        </w:r>
        <w:r w:rsidR="007B562A" w:rsidRPr="00E769FC">
          <w:rPr>
            <w:rStyle w:val="Hyperlink"/>
            <w:noProof/>
          </w:rPr>
          <w:t>Do not specify enhancements to mobility based on UL measurements.</w:t>
        </w:r>
      </w:hyperlink>
    </w:p>
    <w:p w14:paraId="0F5A13D7" w14:textId="1B2B249C"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8" w:history="1">
        <w:r w:rsidR="007B562A" w:rsidRPr="00E769FC">
          <w:rPr>
            <w:rStyle w:val="Hyperlink"/>
            <w:noProof/>
          </w:rPr>
          <w:t>Proposal 11</w:t>
        </w:r>
        <w:r w:rsidR="007B562A">
          <w:rPr>
            <w:rFonts w:asciiTheme="minorHAnsi" w:eastAsiaTheme="minorEastAsia" w:hAnsiTheme="minorHAnsi"/>
            <w:b w:val="0"/>
            <w:noProof/>
            <w:sz w:val="22"/>
            <w:lang w:val="en-SE" w:eastAsia="en-SE"/>
          </w:rPr>
          <w:tab/>
        </w:r>
        <w:r w:rsidR="007B562A" w:rsidRPr="00E769FC">
          <w:rPr>
            <w:rStyle w:val="Hyperlink"/>
            <w:noProof/>
          </w:rPr>
          <w:t>The beam reporting for LTM is performed over MAC.</w:t>
        </w:r>
      </w:hyperlink>
    </w:p>
    <w:p w14:paraId="0DB7DFB2" w14:textId="61647441"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09" w:history="1">
        <w:r w:rsidR="007B562A" w:rsidRPr="00E769FC">
          <w:rPr>
            <w:rStyle w:val="Hyperlink"/>
            <w:noProof/>
          </w:rPr>
          <w:t>Proposal 12</w:t>
        </w:r>
        <w:r w:rsidR="007B562A">
          <w:rPr>
            <w:rFonts w:asciiTheme="minorHAnsi" w:eastAsiaTheme="minorEastAsia" w:hAnsiTheme="minorHAnsi"/>
            <w:b w:val="0"/>
            <w:noProof/>
            <w:sz w:val="22"/>
            <w:lang w:val="en-SE" w:eastAsia="en-SE"/>
          </w:rPr>
          <w:tab/>
        </w:r>
        <w:r w:rsidR="007B562A" w:rsidRPr="00E769FC">
          <w:rPr>
            <w:rStyle w:val="Hyperlink"/>
            <w:noProof/>
          </w:rPr>
          <w:t>Study simplified event-driven reporting to assist LTM over MAC.</w:t>
        </w:r>
      </w:hyperlink>
    </w:p>
    <w:p w14:paraId="620D792B" w14:textId="7AEF7AEC" w:rsidR="007B562A" w:rsidRDefault="00D631DE">
      <w:pPr>
        <w:pStyle w:val="TableofFigures"/>
        <w:tabs>
          <w:tab w:val="right" w:leader="dot" w:pos="9629"/>
        </w:tabs>
        <w:rPr>
          <w:rFonts w:asciiTheme="minorHAnsi" w:eastAsiaTheme="minorEastAsia" w:hAnsiTheme="minorHAnsi"/>
          <w:b w:val="0"/>
          <w:noProof/>
          <w:sz w:val="22"/>
          <w:lang w:val="en-SE" w:eastAsia="en-SE"/>
        </w:rPr>
      </w:pPr>
      <w:hyperlink w:anchor="_Toc118454810" w:history="1">
        <w:r w:rsidR="007B562A" w:rsidRPr="00E769FC">
          <w:rPr>
            <w:rStyle w:val="Hyperlink"/>
            <w:noProof/>
            <w:lang w:val="en-GB"/>
          </w:rPr>
          <w:t>Proposal 13</w:t>
        </w:r>
        <w:r w:rsidR="007B562A">
          <w:rPr>
            <w:rFonts w:asciiTheme="minorHAnsi" w:eastAsiaTheme="minorEastAsia" w:hAnsiTheme="minorHAnsi"/>
            <w:b w:val="0"/>
            <w:noProof/>
            <w:sz w:val="22"/>
            <w:lang w:val="en-SE" w:eastAsia="en-SE"/>
          </w:rPr>
          <w:tab/>
        </w:r>
        <w:r w:rsidR="007B562A" w:rsidRPr="00E769FC">
          <w:rPr>
            <w:rStyle w:val="Hyperlink"/>
            <w:noProof/>
            <w:lang w:val="en-GB"/>
          </w:rPr>
          <w:t>The UE can be configured to store the QCL properties of a subset of the RSs it has reported for a limited period.</w:t>
        </w:r>
      </w:hyperlink>
    </w:p>
    <w:p w14:paraId="58ACA235" w14:textId="39EE47BB" w:rsidR="00C01F33" w:rsidRPr="002D421B" w:rsidRDefault="006E1C82" w:rsidP="002D421B">
      <w:pPr>
        <w:pStyle w:val="BodyText"/>
        <w:rPr>
          <w:b/>
          <w:bCs/>
        </w:rPr>
      </w:pPr>
      <w:r>
        <w:rPr>
          <w:b/>
          <w:bCs/>
        </w:rPr>
        <w:lastRenderedPageBreak/>
        <w:fldChar w:fldCharType="end"/>
      </w:r>
      <w:r w:rsidRPr="00CE0424">
        <w:rPr>
          <w:b/>
          <w:bCs/>
        </w:rPr>
        <w:t xml:space="preserve"> </w:t>
      </w:r>
    </w:p>
    <w:p w14:paraId="71D79D99" w14:textId="77777777" w:rsidR="00F507D1" w:rsidRPr="00CE0424" w:rsidRDefault="00F507D1" w:rsidP="00CE0424">
      <w:pPr>
        <w:pStyle w:val="Heading1"/>
      </w:pPr>
      <w:bookmarkStart w:id="36" w:name="_In-sequence_SDU_delivery"/>
      <w:bookmarkEnd w:id="36"/>
      <w:r w:rsidRPr="00CE0424">
        <w:t>References</w:t>
      </w:r>
    </w:p>
    <w:p w14:paraId="38D61D86" w14:textId="6B0C3F3F" w:rsidR="00CE23AF" w:rsidRDefault="00CE23AF" w:rsidP="00311702">
      <w:pPr>
        <w:pStyle w:val="Reference"/>
      </w:pPr>
      <w:bookmarkStart w:id="37" w:name="_Ref114816142"/>
      <w:bookmarkStart w:id="38" w:name="_Ref174151459"/>
      <w:bookmarkStart w:id="39" w:name="_Ref189809556"/>
      <w:r w:rsidRPr="00CE23AF">
        <w:t>RP-213565</w:t>
      </w:r>
      <w:r>
        <w:t xml:space="preserve">, </w:t>
      </w:r>
      <w:r w:rsidRPr="00CE23AF">
        <w:t>New WID on Further NR mobility enhancements</w:t>
      </w:r>
      <w:r>
        <w:t>, MediaTek, RAN#94e, December 2021</w:t>
      </w:r>
      <w:bookmarkEnd w:id="37"/>
    </w:p>
    <w:p w14:paraId="4FE3554A" w14:textId="5596AC1D" w:rsidR="000261BA" w:rsidRDefault="000261BA" w:rsidP="000261BA">
      <w:pPr>
        <w:pStyle w:val="Reference"/>
      </w:pPr>
      <w:bookmarkStart w:id="40" w:name="_Ref114840333"/>
      <w:r w:rsidRPr="00FE1F4A">
        <w:t>R1-2208331</w:t>
      </w:r>
      <w:r>
        <w:t xml:space="preserve">, </w:t>
      </w:r>
      <w:r w:rsidRPr="00FE1F4A">
        <w:t>LS on L1/L2-based inter-cell mobility</w:t>
      </w:r>
      <w:r>
        <w:t>, RAN2, RAN2#119-e, August 2022</w:t>
      </w:r>
      <w:bookmarkEnd w:id="40"/>
    </w:p>
    <w:p w14:paraId="1055B5DF" w14:textId="7623F960" w:rsidR="0051082D" w:rsidRPr="007B562A" w:rsidRDefault="0051082D" w:rsidP="000261BA">
      <w:pPr>
        <w:pStyle w:val="Reference"/>
      </w:pPr>
      <w:bookmarkStart w:id="41" w:name="_Ref114839978"/>
      <w:r w:rsidRPr="007B562A">
        <w:t>R1-22</w:t>
      </w:r>
      <w:r w:rsidR="007B562A" w:rsidRPr="007B562A">
        <w:t>11553</w:t>
      </w:r>
      <w:r w:rsidRPr="007B562A">
        <w:t>, Timing advance management to reduce latency, Ericsson, RAN1#11</w:t>
      </w:r>
      <w:r w:rsidR="006B7E4B" w:rsidRPr="007B562A">
        <w:t>1</w:t>
      </w:r>
      <w:r w:rsidRPr="007B562A">
        <w:t xml:space="preserve">, </w:t>
      </w:r>
      <w:r w:rsidR="006B7E4B" w:rsidRPr="007B562A">
        <w:t>Toulouse, November</w:t>
      </w:r>
      <w:r w:rsidRPr="007B562A">
        <w:t xml:space="preserve"> 2022</w:t>
      </w:r>
      <w:bookmarkEnd w:id="41"/>
    </w:p>
    <w:p w14:paraId="20958B31" w14:textId="75BAD581" w:rsidR="00E10E36" w:rsidRDefault="00E10E36" w:rsidP="00E10E36">
      <w:pPr>
        <w:pStyle w:val="Reference"/>
      </w:pPr>
      <w:bookmarkStart w:id="42" w:name="_Ref118192366"/>
      <w:bookmarkStart w:id="43" w:name="_Ref115329922"/>
      <w:r w:rsidRPr="00E10E36">
        <w:t>R2-2211061</w:t>
      </w:r>
      <w:r>
        <w:t xml:space="preserve">, </w:t>
      </w:r>
      <w:r w:rsidRPr="004C4F1C">
        <w:t>LS on RAN2 agreements about L1/L2-triggered mobility (LTM)</w:t>
      </w:r>
      <w:r>
        <w:t>, RAN2, RAN2#119bis-e, October 2022</w:t>
      </w:r>
      <w:bookmarkEnd w:id="42"/>
    </w:p>
    <w:p w14:paraId="1B9DBE29" w14:textId="31EF6504" w:rsidR="00797F1D" w:rsidRPr="006E2052" w:rsidRDefault="00DC681A" w:rsidP="00E10E36">
      <w:pPr>
        <w:pStyle w:val="Reference"/>
      </w:pPr>
      <w:bookmarkStart w:id="44" w:name="_Ref118213571"/>
      <w:r w:rsidRPr="006E2052">
        <w:t xml:space="preserve">R1-1716375, </w:t>
      </w:r>
      <w:r w:rsidR="00F32AD9" w:rsidRPr="006E2052">
        <w:t>Details on TRS design, Ericsson, 3GPP TSG-RAN WG1 Meeting #NR3, September 2017</w:t>
      </w:r>
      <w:bookmarkEnd w:id="44"/>
      <w:r w:rsidRPr="006E2052">
        <w:t xml:space="preserve">  </w:t>
      </w:r>
    </w:p>
    <w:p w14:paraId="189558D6" w14:textId="2CD5C93A" w:rsidR="001257BF" w:rsidRDefault="001257BF" w:rsidP="00DD352C">
      <w:pPr>
        <w:pStyle w:val="Reference"/>
      </w:pPr>
      <w:r>
        <w:t>TS 38.215, NR; Physical layer measurements, RAN#97-e, v 17.2.0, September 2022</w:t>
      </w:r>
      <w:bookmarkEnd w:id="43"/>
    </w:p>
    <w:p w14:paraId="4B5884B5" w14:textId="21357B6C" w:rsidR="00F245DD" w:rsidRDefault="00F245DD" w:rsidP="00536F9A">
      <w:pPr>
        <w:pStyle w:val="Reference"/>
      </w:pPr>
      <w:bookmarkStart w:id="45" w:name="_Ref115330647"/>
      <w:r>
        <w:t>TS 38.133, NR; Requirements for support of radio resource management, RAN#96, V 17.6.0, June 2022</w:t>
      </w:r>
      <w:bookmarkEnd w:id="45"/>
    </w:p>
    <w:bookmarkEnd w:id="38"/>
    <w:bookmarkEnd w:id="39"/>
    <w:p w14:paraId="715CA09B" w14:textId="77777777" w:rsidR="003A7EF3" w:rsidRPr="00CE0424" w:rsidRDefault="003A7EF3" w:rsidP="001257BF">
      <w:pPr>
        <w:pStyle w:val="Observation"/>
        <w:numPr>
          <w:ilvl w:val="0"/>
          <w:numId w:val="0"/>
        </w:numPr>
        <w:ind w:left="1701"/>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0DF4" w14:textId="77777777" w:rsidR="00FD02CF" w:rsidRDefault="00FD02CF">
      <w:r>
        <w:separator/>
      </w:r>
    </w:p>
  </w:endnote>
  <w:endnote w:type="continuationSeparator" w:id="0">
    <w:p w14:paraId="2EF24A3D" w14:textId="77777777" w:rsidR="00FD02CF" w:rsidRDefault="00FD02CF">
      <w:r>
        <w:continuationSeparator/>
      </w:r>
    </w:p>
  </w:endnote>
  <w:endnote w:type="continuationNotice" w:id="1">
    <w:p w14:paraId="26B94767" w14:textId="77777777" w:rsidR="00FD02CF" w:rsidRDefault="00FD0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0A97" w14:textId="77777777" w:rsidR="00FD02CF" w:rsidRDefault="00FD02CF">
      <w:r>
        <w:separator/>
      </w:r>
    </w:p>
  </w:footnote>
  <w:footnote w:type="continuationSeparator" w:id="0">
    <w:p w14:paraId="68FD6B77" w14:textId="77777777" w:rsidR="00FD02CF" w:rsidRDefault="00FD02CF">
      <w:r>
        <w:continuationSeparator/>
      </w:r>
    </w:p>
  </w:footnote>
  <w:footnote w:type="continuationNotice" w:id="1">
    <w:p w14:paraId="6196DE25" w14:textId="77777777" w:rsidR="00FD02CF" w:rsidRDefault="00FD0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62A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EC25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031A28"/>
    <w:multiLevelType w:val="hybridMultilevel"/>
    <w:tmpl w:val="C78AAFE2"/>
    <w:lvl w:ilvl="0" w:tplc="8D6E4A9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E7D4F"/>
    <w:multiLevelType w:val="hybridMultilevel"/>
    <w:tmpl w:val="A2869B68"/>
    <w:lvl w:ilvl="0" w:tplc="9A3C7C9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9092020"/>
    <w:multiLevelType w:val="hybridMultilevel"/>
    <w:tmpl w:val="CF80E478"/>
    <w:lvl w:ilvl="0" w:tplc="B9DA95F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E95C88"/>
    <w:multiLevelType w:val="hybridMultilevel"/>
    <w:tmpl w:val="309E6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7"/>
  </w:num>
  <w:num w:numId="4">
    <w:abstractNumId w:val="19"/>
  </w:num>
  <w:num w:numId="5">
    <w:abstractNumId w:val="13"/>
  </w:num>
  <w:num w:numId="6">
    <w:abstractNumId w:val="22"/>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28"/>
  </w:num>
  <w:num w:numId="15">
    <w:abstractNumId w:val="21"/>
  </w:num>
  <w:num w:numId="16">
    <w:abstractNumId w:val="30"/>
  </w:num>
  <w:num w:numId="17">
    <w:abstractNumId w:val="8"/>
  </w:num>
  <w:num w:numId="18">
    <w:abstractNumId w:val="10"/>
  </w:num>
  <w:num w:numId="19">
    <w:abstractNumId w:val="6"/>
  </w:num>
  <w:num w:numId="20">
    <w:abstractNumId w:val="37"/>
  </w:num>
  <w:num w:numId="21">
    <w:abstractNumId w:val="15"/>
  </w:num>
  <w:num w:numId="22">
    <w:abstractNumId w:val="34"/>
  </w:num>
  <w:num w:numId="23">
    <w:abstractNumId w:val="35"/>
  </w:num>
  <w:num w:numId="24">
    <w:abstractNumId w:val="27"/>
  </w:num>
  <w:num w:numId="25">
    <w:abstractNumId w:val="4"/>
  </w:num>
  <w:num w:numId="26">
    <w:abstractNumId w:val="31"/>
  </w:num>
  <w:num w:numId="27">
    <w:abstractNumId w:val="33"/>
  </w:num>
  <w:num w:numId="28">
    <w:abstractNumId w:val="23"/>
  </w:num>
  <w:num w:numId="29">
    <w:abstractNumId w:val="16"/>
  </w:num>
  <w:num w:numId="30">
    <w:abstractNumId w:val="24"/>
  </w:num>
  <w:num w:numId="31">
    <w:abstractNumId w:val="20"/>
  </w:num>
  <w:num w:numId="32">
    <w:abstractNumId w:val="35"/>
  </w:num>
  <w:num w:numId="33">
    <w:abstractNumId w:val="5"/>
  </w:num>
  <w:num w:numId="34">
    <w:abstractNumId w:val="17"/>
  </w:num>
  <w:num w:numId="35">
    <w:abstractNumId w:val="18"/>
    <w:lvlOverride w:ilvl="0"/>
    <w:lvlOverride w:ilvl="1">
      <w:startOverride w:val="1"/>
    </w:lvlOverride>
    <w:lvlOverride w:ilvl="2"/>
    <w:lvlOverride w:ilvl="3"/>
    <w:lvlOverride w:ilvl="4"/>
    <w:lvlOverride w:ilvl="5"/>
    <w:lvlOverride w:ilvl="6"/>
    <w:lvlOverride w:ilvl="7"/>
    <w:lvlOverride w:ilvl="8"/>
  </w:num>
  <w:num w:numId="36">
    <w:abstractNumId w:val="12"/>
  </w:num>
  <w:num w:numId="37">
    <w:abstractNumId w:val="9"/>
  </w:num>
  <w:num w:numId="38">
    <w:abstractNumId w:val="36"/>
  </w:num>
  <w:num w:numId="39">
    <w:abstractNumId w:val="7"/>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A37"/>
    <w:rsid w:val="0000564C"/>
    <w:rsid w:val="00006446"/>
    <w:rsid w:val="00006896"/>
    <w:rsid w:val="00007CDC"/>
    <w:rsid w:val="00011B28"/>
    <w:rsid w:val="00015D15"/>
    <w:rsid w:val="00021368"/>
    <w:rsid w:val="0002564D"/>
    <w:rsid w:val="00025ECA"/>
    <w:rsid w:val="000261BA"/>
    <w:rsid w:val="000325B8"/>
    <w:rsid w:val="00034C15"/>
    <w:rsid w:val="00036BA1"/>
    <w:rsid w:val="000422E2"/>
    <w:rsid w:val="00042F22"/>
    <w:rsid w:val="000444EF"/>
    <w:rsid w:val="00052A07"/>
    <w:rsid w:val="000534E3"/>
    <w:rsid w:val="0005606A"/>
    <w:rsid w:val="000566FE"/>
    <w:rsid w:val="00057117"/>
    <w:rsid w:val="000616E7"/>
    <w:rsid w:val="0006479F"/>
    <w:rsid w:val="0006487E"/>
    <w:rsid w:val="00065E1A"/>
    <w:rsid w:val="0006627F"/>
    <w:rsid w:val="000765C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A6"/>
    <w:rsid w:val="000C165A"/>
    <w:rsid w:val="000C2E19"/>
    <w:rsid w:val="000D0D07"/>
    <w:rsid w:val="000D4797"/>
    <w:rsid w:val="000E0527"/>
    <w:rsid w:val="000E1E92"/>
    <w:rsid w:val="000E46D6"/>
    <w:rsid w:val="000F06D6"/>
    <w:rsid w:val="000F0EB1"/>
    <w:rsid w:val="000F1106"/>
    <w:rsid w:val="000F3BE9"/>
    <w:rsid w:val="000F3F6C"/>
    <w:rsid w:val="000F5906"/>
    <w:rsid w:val="000F6DF3"/>
    <w:rsid w:val="001005FF"/>
    <w:rsid w:val="001062FB"/>
    <w:rsid w:val="001063E6"/>
    <w:rsid w:val="00113CF4"/>
    <w:rsid w:val="001153EA"/>
    <w:rsid w:val="00115643"/>
    <w:rsid w:val="00116765"/>
    <w:rsid w:val="001207E7"/>
    <w:rsid w:val="001219F5"/>
    <w:rsid w:val="00121A20"/>
    <w:rsid w:val="00122ABA"/>
    <w:rsid w:val="0012377F"/>
    <w:rsid w:val="00124314"/>
    <w:rsid w:val="001257BF"/>
    <w:rsid w:val="00126B4A"/>
    <w:rsid w:val="0012715B"/>
    <w:rsid w:val="00131337"/>
    <w:rsid w:val="00132FD0"/>
    <w:rsid w:val="001344C0"/>
    <w:rsid w:val="001346FA"/>
    <w:rsid w:val="00135252"/>
    <w:rsid w:val="00137AB5"/>
    <w:rsid w:val="00137F0B"/>
    <w:rsid w:val="00144237"/>
    <w:rsid w:val="001450C4"/>
    <w:rsid w:val="00151E23"/>
    <w:rsid w:val="001526E0"/>
    <w:rsid w:val="00152ED7"/>
    <w:rsid w:val="001551B5"/>
    <w:rsid w:val="001659C1"/>
    <w:rsid w:val="00173A8E"/>
    <w:rsid w:val="0017502C"/>
    <w:rsid w:val="00177C4D"/>
    <w:rsid w:val="0018143F"/>
    <w:rsid w:val="00181FF8"/>
    <w:rsid w:val="00190AC1"/>
    <w:rsid w:val="0019341A"/>
    <w:rsid w:val="00197DF9"/>
    <w:rsid w:val="001A1987"/>
    <w:rsid w:val="001A2564"/>
    <w:rsid w:val="001A6173"/>
    <w:rsid w:val="001A6CBA"/>
    <w:rsid w:val="001B0D97"/>
    <w:rsid w:val="001B5A5D"/>
    <w:rsid w:val="001C0829"/>
    <w:rsid w:val="001C1CE5"/>
    <w:rsid w:val="001C3D2A"/>
    <w:rsid w:val="001D51BA"/>
    <w:rsid w:val="001D53E7"/>
    <w:rsid w:val="001D6342"/>
    <w:rsid w:val="001D6D53"/>
    <w:rsid w:val="001D71C5"/>
    <w:rsid w:val="001E58E2"/>
    <w:rsid w:val="001E677E"/>
    <w:rsid w:val="001E7AED"/>
    <w:rsid w:val="001F25B6"/>
    <w:rsid w:val="001F3916"/>
    <w:rsid w:val="001F54C5"/>
    <w:rsid w:val="001F662C"/>
    <w:rsid w:val="001F7074"/>
    <w:rsid w:val="00200490"/>
    <w:rsid w:val="00201F3A"/>
    <w:rsid w:val="00203F96"/>
    <w:rsid w:val="002069B2"/>
    <w:rsid w:val="00207FA3"/>
    <w:rsid w:val="00214DA8"/>
    <w:rsid w:val="00215423"/>
    <w:rsid w:val="002158FA"/>
    <w:rsid w:val="00215CD7"/>
    <w:rsid w:val="00220600"/>
    <w:rsid w:val="0022243E"/>
    <w:rsid w:val="002224DB"/>
    <w:rsid w:val="00223FCB"/>
    <w:rsid w:val="002252C3"/>
    <w:rsid w:val="00225C54"/>
    <w:rsid w:val="00230765"/>
    <w:rsid w:val="00230D18"/>
    <w:rsid w:val="002319E4"/>
    <w:rsid w:val="00235632"/>
    <w:rsid w:val="00235872"/>
    <w:rsid w:val="00241559"/>
    <w:rsid w:val="002419E5"/>
    <w:rsid w:val="002435B3"/>
    <w:rsid w:val="002456B5"/>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9DD"/>
    <w:rsid w:val="002805F5"/>
    <w:rsid w:val="00280751"/>
    <w:rsid w:val="0028280A"/>
    <w:rsid w:val="00286ACD"/>
    <w:rsid w:val="00287838"/>
    <w:rsid w:val="002907B5"/>
    <w:rsid w:val="00292EB7"/>
    <w:rsid w:val="00296227"/>
    <w:rsid w:val="0029696B"/>
    <w:rsid w:val="00296F44"/>
    <w:rsid w:val="0029777D"/>
    <w:rsid w:val="002A055E"/>
    <w:rsid w:val="002A1D4E"/>
    <w:rsid w:val="002A2869"/>
    <w:rsid w:val="002A578E"/>
    <w:rsid w:val="002A7020"/>
    <w:rsid w:val="002B0ED6"/>
    <w:rsid w:val="002B24D6"/>
    <w:rsid w:val="002B741D"/>
    <w:rsid w:val="002C41E6"/>
    <w:rsid w:val="002D071A"/>
    <w:rsid w:val="002D34B2"/>
    <w:rsid w:val="002D421B"/>
    <w:rsid w:val="002D48B0"/>
    <w:rsid w:val="002D5B37"/>
    <w:rsid w:val="002D7637"/>
    <w:rsid w:val="002E17F2"/>
    <w:rsid w:val="002E2A09"/>
    <w:rsid w:val="002E7CAE"/>
    <w:rsid w:val="002F0F68"/>
    <w:rsid w:val="002F13E4"/>
    <w:rsid w:val="002F2771"/>
    <w:rsid w:val="002F37A9"/>
    <w:rsid w:val="00301CE6"/>
    <w:rsid w:val="0030256B"/>
    <w:rsid w:val="0030501F"/>
    <w:rsid w:val="00307BA1"/>
    <w:rsid w:val="00311702"/>
    <w:rsid w:val="00311E82"/>
    <w:rsid w:val="00313FD6"/>
    <w:rsid w:val="003143BD"/>
    <w:rsid w:val="00315363"/>
    <w:rsid w:val="003164BA"/>
    <w:rsid w:val="003203ED"/>
    <w:rsid w:val="00322C9F"/>
    <w:rsid w:val="00324D23"/>
    <w:rsid w:val="0033134A"/>
    <w:rsid w:val="00331751"/>
    <w:rsid w:val="00334579"/>
    <w:rsid w:val="00335858"/>
    <w:rsid w:val="00336BDA"/>
    <w:rsid w:val="00342BD7"/>
    <w:rsid w:val="00346DB5"/>
    <w:rsid w:val="003477B1"/>
    <w:rsid w:val="00357380"/>
    <w:rsid w:val="0036013C"/>
    <w:rsid w:val="003602D9"/>
    <w:rsid w:val="003604CE"/>
    <w:rsid w:val="00370E47"/>
    <w:rsid w:val="0037204F"/>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331"/>
    <w:rsid w:val="003B7FE5"/>
    <w:rsid w:val="003C11C8"/>
    <w:rsid w:val="003C1B1F"/>
    <w:rsid w:val="003C2702"/>
    <w:rsid w:val="003C6FA1"/>
    <w:rsid w:val="003C7806"/>
    <w:rsid w:val="003D109F"/>
    <w:rsid w:val="003D2478"/>
    <w:rsid w:val="003D3C45"/>
    <w:rsid w:val="003D5902"/>
    <w:rsid w:val="003D5B1F"/>
    <w:rsid w:val="003E15FA"/>
    <w:rsid w:val="003E55E4"/>
    <w:rsid w:val="003E74E3"/>
    <w:rsid w:val="003E7610"/>
    <w:rsid w:val="003F05C7"/>
    <w:rsid w:val="003F2CD4"/>
    <w:rsid w:val="003F6BBE"/>
    <w:rsid w:val="004000E8"/>
    <w:rsid w:val="00401520"/>
    <w:rsid w:val="00402E2B"/>
    <w:rsid w:val="0040512B"/>
    <w:rsid w:val="00405CA5"/>
    <w:rsid w:val="00407CD3"/>
    <w:rsid w:val="00410134"/>
    <w:rsid w:val="00410B72"/>
    <w:rsid w:val="00410F18"/>
    <w:rsid w:val="004116CF"/>
    <w:rsid w:val="0041263E"/>
    <w:rsid w:val="00413AAC"/>
    <w:rsid w:val="00413E92"/>
    <w:rsid w:val="00421105"/>
    <w:rsid w:val="00422AA4"/>
    <w:rsid w:val="004242F4"/>
    <w:rsid w:val="00427248"/>
    <w:rsid w:val="00433FEE"/>
    <w:rsid w:val="00435785"/>
    <w:rsid w:val="00437447"/>
    <w:rsid w:val="00441A92"/>
    <w:rsid w:val="004431DC"/>
    <w:rsid w:val="00444F56"/>
    <w:rsid w:val="00446488"/>
    <w:rsid w:val="004517AA"/>
    <w:rsid w:val="004526DD"/>
    <w:rsid w:val="00452CAC"/>
    <w:rsid w:val="004570D8"/>
    <w:rsid w:val="00457565"/>
    <w:rsid w:val="00457B71"/>
    <w:rsid w:val="00464689"/>
    <w:rsid w:val="004669E2"/>
    <w:rsid w:val="00470C31"/>
    <w:rsid w:val="0047116E"/>
    <w:rsid w:val="00471C0A"/>
    <w:rsid w:val="00471DE0"/>
    <w:rsid w:val="004734D0"/>
    <w:rsid w:val="0047556B"/>
    <w:rsid w:val="00477768"/>
    <w:rsid w:val="004904A4"/>
    <w:rsid w:val="00492BC5"/>
    <w:rsid w:val="00493EAD"/>
    <w:rsid w:val="004964F1"/>
    <w:rsid w:val="004A16BC"/>
    <w:rsid w:val="004A29CA"/>
    <w:rsid w:val="004A2B94"/>
    <w:rsid w:val="004A48C5"/>
    <w:rsid w:val="004B6F6A"/>
    <w:rsid w:val="004B7C0C"/>
    <w:rsid w:val="004C3898"/>
    <w:rsid w:val="004D36B1"/>
    <w:rsid w:val="004D784F"/>
    <w:rsid w:val="004D7EA2"/>
    <w:rsid w:val="004D7EBD"/>
    <w:rsid w:val="004E00EB"/>
    <w:rsid w:val="004E0ACE"/>
    <w:rsid w:val="004E2680"/>
    <w:rsid w:val="004E28F9"/>
    <w:rsid w:val="004E462E"/>
    <w:rsid w:val="004E4A3B"/>
    <w:rsid w:val="004E56DC"/>
    <w:rsid w:val="004E76F4"/>
    <w:rsid w:val="004F0B4E"/>
    <w:rsid w:val="004F0B6C"/>
    <w:rsid w:val="004F2078"/>
    <w:rsid w:val="004F2F05"/>
    <w:rsid w:val="004F4DA3"/>
    <w:rsid w:val="00506557"/>
    <w:rsid w:val="0050677A"/>
    <w:rsid w:val="0051082D"/>
    <w:rsid w:val="005108D8"/>
    <w:rsid w:val="005116F9"/>
    <w:rsid w:val="005153A7"/>
    <w:rsid w:val="005219CF"/>
    <w:rsid w:val="00534B59"/>
    <w:rsid w:val="00536759"/>
    <w:rsid w:val="00537C62"/>
    <w:rsid w:val="00545FAE"/>
    <w:rsid w:val="00546970"/>
    <w:rsid w:val="00554E19"/>
    <w:rsid w:val="0056121F"/>
    <w:rsid w:val="00570943"/>
    <w:rsid w:val="005710CA"/>
    <w:rsid w:val="00572505"/>
    <w:rsid w:val="00582809"/>
    <w:rsid w:val="005854B0"/>
    <w:rsid w:val="0058798C"/>
    <w:rsid w:val="005900FA"/>
    <w:rsid w:val="005935A4"/>
    <w:rsid w:val="005948C2"/>
    <w:rsid w:val="00595DCA"/>
    <w:rsid w:val="0059779B"/>
    <w:rsid w:val="005A209A"/>
    <w:rsid w:val="005A360F"/>
    <w:rsid w:val="005A662D"/>
    <w:rsid w:val="005B1409"/>
    <w:rsid w:val="005B35D7"/>
    <w:rsid w:val="005B392A"/>
    <w:rsid w:val="005B3AA3"/>
    <w:rsid w:val="005B5BF2"/>
    <w:rsid w:val="005B6F83"/>
    <w:rsid w:val="005C74FB"/>
    <w:rsid w:val="005D1602"/>
    <w:rsid w:val="005E27E0"/>
    <w:rsid w:val="005E385F"/>
    <w:rsid w:val="005E5B81"/>
    <w:rsid w:val="005E6B68"/>
    <w:rsid w:val="005F2CB1"/>
    <w:rsid w:val="005F3025"/>
    <w:rsid w:val="005F618C"/>
    <w:rsid w:val="005F70BD"/>
    <w:rsid w:val="0060283C"/>
    <w:rsid w:val="00604F14"/>
    <w:rsid w:val="00611B83"/>
    <w:rsid w:val="00612881"/>
    <w:rsid w:val="00613257"/>
    <w:rsid w:val="00620A71"/>
    <w:rsid w:val="00620D80"/>
    <w:rsid w:val="006234A6"/>
    <w:rsid w:val="00630001"/>
    <w:rsid w:val="006311B3"/>
    <w:rsid w:val="0063284C"/>
    <w:rsid w:val="0063497B"/>
    <w:rsid w:val="00636398"/>
    <w:rsid w:val="006368D3"/>
    <w:rsid w:val="006377EC"/>
    <w:rsid w:val="0064151F"/>
    <w:rsid w:val="00641533"/>
    <w:rsid w:val="0064208D"/>
    <w:rsid w:val="00643475"/>
    <w:rsid w:val="0064396A"/>
    <w:rsid w:val="00643CEE"/>
    <w:rsid w:val="0064624E"/>
    <w:rsid w:val="00650AB9"/>
    <w:rsid w:val="00654A8E"/>
    <w:rsid w:val="00655733"/>
    <w:rsid w:val="00655ACD"/>
    <w:rsid w:val="00656A92"/>
    <w:rsid w:val="00656DDE"/>
    <w:rsid w:val="0066011D"/>
    <w:rsid w:val="006607C0"/>
    <w:rsid w:val="006613A6"/>
    <w:rsid w:val="006627A2"/>
    <w:rsid w:val="006634E6"/>
    <w:rsid w:val="00663EF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814"/>
    <w:rsid w:val="006A3C39"/>
    <w:rsid w:val="006A46FB"/>
    <w:rsid w:val="006A539C"/>
    <w:rsid w:val="006A5E28"/>
    <w:rsid w:val="006A697B"/>
    <w:rsid w:val="006A6A30"/>
    <w:rsid w:val="006A7AFF"/>
    <w:rsid w:val="006B1816"/>
    <w:rsid w:val="006B2099"/>
    <w:rsid w:val="006B50CF"/>
    <w:rsid w:val="006B7E4B"/>
    <w:rsid w:val="006C03B8"/>
    <w:rsid w:val="006C28E3"/>
    <w:rsid w:val="006C39E5"/>
    <w:rsid w:val="006C5EC9"/>
    <w:rsid w:val="006C6059"/>
    <w:rsid w:val="006C7522"/>
    <w:rsid w:val="006D5B45"/>
    <w:rsid w:val="006D6F08"/>
    <w:rsid w:val="006E062C"/>
    <w:rsid w:val="006E1C82"/>
    <w:rsid w:val="006E2052"/>
    <w:rsid w:val="006E28B7"/>
    <w:rsid w:val="006E2A9B"/>
    <w:rsid w:val="006E3310"/>
    <w:rsid w:val="006E4E39"/>
    <w:rsid w:val="006E565E"/>
    <w:rsid w:val="006E673D"/>
    <w:rsid w:val="006E7D3B"/>
    <w:rsid w:val="006F1B70"/>
    <w:rsid w:val="006F341D"/>
    <w:rsid w:val="006F3CDE"/>
    <w:rsid w:val="006F581A"/>
    <w:rsid w:val="006F58D4"/>
    <w:rsid w:val="006F6582"/>
    <w:rsid w:val="00701017"/>
    <w:rsid w:val="0070346E"/>
    <w:rsid w:val="00704EDB"/>
    <w:rsid w:val="00706101"/>
    <w:rsid w:val="00707072"/>
    <w:rsid w:val="00707D61"/>
    <w:rsid w:val="00712287"/>
    <w:rsid w:val="00712772"/>
    <w:rsid w:val="00713A70"/>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97F1D"/>
    <w:rsid w:val="007A1CB3"/>
    <w:rsid w:val="007A306F"/>
    <w:rsid w:val="007A43A6"/>
    <w:rsid w:val="007A44B6"/>
    <w:rsid w:val="007A58A6"/>
    <w:rsid w:val="007B23C8"/>
    <w:rsid w:val="007B3D2D"/>
    <w:rsid w:val="007B50AE"/>
    <w:rsid w:val="007B51DF"/>
    <w:rsid w:val="007B562A"/>
    <w:rsid w:val="007C05DD"/>
    <w:rsid w:val="007C3D18"/>
    <w:rsid w:val="007C60BF"/>
    <w:rsid w:val="007C6A07"/>
    <w:rsid w:val="007C75A1"/>
    <w:rsid w:val="007C77A5"/>
    <w:rsid w:val="007D04E5"/>
    <w:rsid w:val="007D5901"/>
    <w:rsid w:val="007D7526"/>
    <w:rsid w:val="007E4610"/>
    <w:rsid w:val="007E4715"/>
    <w:rsid w:val="007E505B"/>
    <w:rsid w:val="007E7091"/>
    <w:rsid w:val="007F5AF0"/>
    <w:rsid w:val="007F5C71"/>
    <w:rsid w:val="007F6BEA"/>
    <w:rsid w:val="008019FB"/>
    <w:rsid w:val="00802121"/>
    <w:rsid w:val="00803FAE"/>
    <w:rsid w:val="0080605F"/>
    <w:rsid w:val="00807786"/>
    <w:rsid w:val="00811FCB"/>
    <w:rsid w:val="008158D6"/>
    <w:rsid w:val="008161F5"/>
    <w:rsid w:val="00817196"/>
    <w:rsid w:val="008235DB"/>
    <w:rsid w:val="00824AB4"/>
    <w:rsid w:val="00825C42"/>
    <w:rsid w:val="00825D25"/>
    <w:rsid w:val="00827D6F"/>
    <w:rsid w:val="008376AC"/>
    <w:rsid w:val="00841994"/>
    <w:rsid w:val="008444E8"/>
    <w:rsid w:val="00844E80"/>
    <w:rsid w:val="00846FE7"/>
    <w:rsid w:val="00856911"/>
    <w:rsid w:val="00863E3D"/>
    <w:rsid w:val="008660AC"/>
    <w:rsid w:val="00866F1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FB9"/>
    <w:rsid w:val="008A77D8"/>
    <w:rsid w:val="008B0483"/>
    <w:rsid w:val="008B120C"/>
    <w:rsid w:val="008B1906"/>
    <w:rsid w:val="008B51A0"/>
    <w:rsid w:val="008B592A"/>
    <w:rsid w:val="008B7B5C"/>
    <w:rsid w:val="008C0C99"/>
    <w:rsid w:val="008C2017"/>
    <w:rsid w:val="008C31BB"/>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124"/>
    <w:rsid w:val="00910B7D"/>
    <w:rsid w:val="00911DFB"/>
    <w:rsid w:val="009139D9"/>
    <w:rsid w:val="00914AD8"/>
    <w:rsid w:val="00914BE7"/>
    <w:rsid w:val="00916079"/>
    <w:rsid w:val="00916194"/>
    <w:rsid w:val="00917CE9"/>
    <w:rsid w:val="0092075B"/>
    <w:rsid w:val="00920953"/>
    <w:rsid w:val="00920BF2"/>
    <w:rsid w:val="00922010"/>
    <w:rsid w:val="00923EC6"/>
    <w:rsid w:val="00931BD9"/>
    <w:rsid w:val="0093465E"/>
    <w:rsid w:val="009368F3"/>
    <w:rsid w:val="00936C5E"/>
    <w:rsid w:val="00937A91"/>
    <w:rsid w:val="00941636"/>
    <w:rsid w:val="00943742"/>
    <w:rsid w:val="00945C05"/>
    <w:rsid w:val="00946945"/>
    <w:rsid w:val="00947713"/>
    <w:rsid w:val="00950DE7"/>
    <w:rsid w:val="00953920"/>
    <w:rsid w:val="00953D47"/>
    <w:rsid w:val="00953F5B"/>
    <w:rsid w:val="0095681E"/>
    <w:rsid w:val="009572D4"/>
    <w:rsid w:val="00961921"/>
    <w:rsid w:val="009627AD"/>
    <w:rsid w:val="0096430A"/>
    <w:rsid w:val="00964601"/>
    <w:rsid w:val="00964C38"/>
    <w:rsid w:val="0096554B"/>
    <w:rsid w:val="0096584A"/>
    <w:rsid w:val="00971F08"/>
    <w:rsid w:val="0097603D"/>
    <w:rsid w:val="00976949"/>
    <w:rsid w:val="009801D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510"/>
    <w:rsid w:val="009D2B46"/>
    <w:rsid w:val="009D4FF0"/>
    <w:rsid w:val="009D703C"/>
    <w:rsid w:val="009D718F"/>
    <w:rsid w:val="009E068F"/>
    <w:rsid w:val="009E14E0"/>
    <w:rsid w:val="009E35DB"/>
    <w:rsid w:val="009E47A3"/>
    <w:rsid w:val="009F08F3"/>
    <w:rsid w:val="009F344F"/>
    <w:rsid w:val="009F3BC5"/>
    <w:rsid w:val="009F3F92"/>
    <w:rsid w:val="00A031D8"/>
    <w:rsid w:val="00A048A8"/>
    <w:rsid w:val="00A04F49"/>
    <w:rsid w:val="00A13E54"/>
    <w:rsid w:val="00A17F63"/>
    <w:rsid w:val="00A2193B"/>
    <w:rsid w:val="00A22D54"/>
    <w:rsid w:val="00A2351A"/>
    <w:rsid w:val="00A264A9"/>
    <w:rsid w:val="00A26DCF"/>
    <w:rsid w:val="00A27785"/>
    <w:rsid w:val="00A30187"/>
    <w:rsid w:val="00A3448A"/>
    <w:rsid w:val="00A36297"/>
    <w:rsid w:val="00A41E2B"/>
    <w:rsid w:val="00A45B74"/>
    <w:rsid w:val="00A510A3"/>
    <w:rsid w:val="00A52E1D"/>
    <w:rsid w:val="00A60E11"/>
    <w:rsid w:val="00A61499"/>
    <w:rsid w:val="00A62A77"/>
    <w:rsid w:val="00A63483"/>
    <w:rsid w:val="00A657D7"/>
    <w:rsid w:val="00A660AC"/>
    <w:rsid w:val="00A67E6C"/>
    <w:rsid w:val="00A71B99"/>
    <w:rsid w:val="00A739D0"/>
    <w:rsid w:val="00A74B87"/>
    <w:rsid w:val="00A761D4"/>
    <w:rsid w:val="00A77EC4"/>
    <w:rsid w:val="00A805D4"/>
    <w:rsid w:val="00A915B3"/>
    <w:rsid w:val="00A92879"/>
    <w:rsid w:val="00A9442A"/>
    <w:rsid w:val="00AA016F"/>
    <w:rsid w:val="00AA1ED6"/>
    <w:rsid w:val="00AA51D6"/>
    <w:rsid w:val="00AB0BC8"/>
    <w:rsid w:val="00AB11CA"/>
    <w:rsid w:val="00AB14D9"/>
    <w:rsid w:val="00AB4AB8"/>
    <w:rsid w:val="00AB52E4"/>
    <w:rsid w:val="00AB655E"/>
    <w:rsid w:val="00AC007F"/>
    <w:rsid w:val="00AC2ECD"/>
    <w:rsid w:val="00AC3119"/>
    <w:rsid w:val="00AC39F7"/>
    <w:rsid w:val="00AC49FB"/>
    <w:rsid w:val="00AC5A10"/>
    <w:rsid w:val="00AD0AA3"/>
    <w:rsid w:val="00AD2ED0"/>
    <w:rsid w:val="00AD3F94"/>
    <w:rsid w:val="00AD4A5A"/>
    <w:rsid w:val="00AE217F"/>
    <w:rsid w:val="00AE27AC"/>
    <w:rsid w:val="00AE40E0"/>
    <w:rsid w:val="00AE44D8"/>
    <w:rsid w:val="00AE4DBA"/>
    <w:rsid w:val="00AE4F07"/>
    <w:rsid w:val="00AF1C5D"/>
    <w:rsid w:val="00AF20E4"/>
    <w:rsid w:val="00AF42D7"/>
    <w:rsid w:val="00B006FE"/>
    <w:rsid w:val="00B007CB"/>
    <w:rsid w:val="00B02AA9"/>
    <w:rsid w:val="00B02CFB"/>
    <w:rsid w:val="00B02FA3"/>
    <w:rsid w:val="00B05084"/>
    <w:rsid w:val="00B07C72"/>
    <w:rsid w:val="00B157F9"/>
    <w:rsid w:val="00B20256"/>
    <w:rsid w:val="00B20D09"/>
    <w:rsid w:val="00B2757F"/>
    <w:rsid w:val="00B2763F"/>
    <w:rsid w:val="00B27AAC"/>
    <w:rsid w:val="00B30929"/>
    <w:rsid w:val="00B3547B"/>
    <w:rsid w:val="00B372AA"/>
    <w:rsid w:val="00B40445"/>
    <w:rsid w:val="00B409E0"/>
    <w:rsid w:val="00B41888"/>
    <w:rsid w:val="00B45A52"/>
    <w:rsid w:val="00B46175"/>
    <w:rsid w:val="00B548B7"/>
    <w:rsid w:val="00B62D1B"/>
    <w:rsid w:val="00B65E6D"/>
    <w:rsid w:val="00B664C7"/>
    <w:rsid w:val="00B713D8"/>
    <w:rsid w:val="00B739F6"/>
    <w:rsid w:val="00B81A6C"/>
    <w:rsid w:val="00B81A73"/>
    <w:rsid w:val="00B85DE5"/>
    <w:rsid w:val="00B8662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BE0"/>
    <w:rsid w:val="00C13327"/>
    <w:rsid w:val="00C1417F"/>
    <w:rsid w:val="00C14D4B"/>
    <w:rsid w:val="00C154BB"/>
    <w:rsid w:val="00C215D7"/>
    <w:rsid w:val="00C273D6"/>
    <w:rsid w:val="00C279B5"/>
    <w:rsid w:val="00C27C45"/>
    <w:rsid w:val="00C336FE"/>
    <w:rsid w:val="00C3719D"/>
    <w:rsid w:val="00C37CB2"/>
    <w:rsid w:val="00C473A5"/>
    <w:rsid w:val="00C53CD6"/>
    <w:rsid w:val="00C54995"/>
    <w:rsid w:val="00C54D41"/>
    <w:rsid w:val="00C60783"/>
    <w:rsid w:val="00C64672"/>
    <w:rsid w:val="00C70697"/>
    <w:rsid w:val="00C714C2"/>
    <w:rsid w:val="00C72093"/>
    <w:rsid w:val="00C72EF4"/>
    <w:rsid w:val="00C744FE"/>
    <w:rsid w:val="00C75D2F"/>
    <w:rsid w:val="00C767BE"/>
    <w:rsid w:val="00C76E3C"/>
    <w:rsid w:val="00C81568"/>
    <w:rsid w:val="00C820A2"/>
    <w:rsid w:val="00C9027A"/>
    <w:rsid w:val="00C9068E"/>
    <w:rsid w:val="00C93814"/>
    <w:rsid w:val="00C93C4B"/>
    <w:rsid w:val="00C944AB"/>
    <w:rsid w:val="00C95B40"/>
    <w:rsid w:val="00CA1ED8"/>
    <w:rsid w:val="00CA3223"/>
    <w:rsid w:val="00CA379A"/>
    <w:rsid w:val="00CB1185"/>
    <w:rsid w:val="00CB1F63"/>
    <w:rsid w:val="00CB7170"/>
    <w:rsid w:val="00CC040E"/>
    <w:rsid w:val="00CC111F"/>
    <w:rsid w:val="00CC2011"/>
    <w:rsid w:val="00CC3EA0"/>
    <w:rsid w:val="00CC7B45"/>
    <w:rsid w:val="00CC7E4A"/>
    <w:rsid w:val="00CD1188"/>
    <w:rsid w:val="00CD2ED1"/>
    <w:rsid w:val="00CD337B"/>
    <w:rsid w:val="00CE0424"/>
    <w:rsid w:val="00CE23AF"/>
    <w:rsid w:val="00CE7561"/>
    <w:rsid w:val="00CF1354"/>
    <w:rsid w:val="00CF3B1F"/>
    <w:rsid w:val="00CF3BF6"/>
    <w:rsid w:val="00CF625B"/>
    <w:rsid w:val="00CF687E"/>
    <w:rsid w:val="00D019A2"/>
    <w:rsid w:val="00D0349B"/>
    <w:rsid w:val="00D10249"/>
    <w:rsid w:val="00D115C3"/>
    <w:rsid w:val="00D11897"/>
    <w:rsid w:val="00D13135"/>
    <w:rsid w:val="00D13E4E"/>
    <w:rsid w:val="00D1784F"/>
    <w:rsid w:val="00D239A7"/>
    <w:rsid w:val="00D23F47"/>
    <w:rsid w:val="00D36E71"/>
    <w:rsid w:val="00D37380"/>
    <w:rsid w:val="00D37D87"/>
    <w:rsid w:val="00D40B33"/>
    <w:rsid w:val="00D4318F"/>
    <w:rsid w:val="00D438BF"/>
    <w:rsid w:val="00D440F8"/>
    <w:rsid w:val="00D5419C"/>
    <w:rsid w:val="00D546FF"/>
    <w:rsid w:val="00D55AD5"/>
    <w:rsid w:val="00D576CA"/>
    <w:rsid w:val="00D61AF5"/>
    <w:rsid w:val="00D631DE"/>
    <w:rsid w:val="00D652B5"/>
    <w:rsid w:val="00D66155"/>
    <w:rsid w:val="00D708B0"/>
    <w:rsid w:val="00D73FF6"/>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81A"/>
    <w:rsid w:val="00DE5608"/>
    <w:rsid w:val="00DE58D0"/>
    <w:rsid w:val="00DE654F"/>
    <w:rsid w:val="00DF0B6E"/>
    <w:rsid w:val="00DF15E0"/>
    <w:rsid w:val="00DF37A0"/>
    <w:rsid w:val="00DF37BC"/>
    <w:rsid w:val="00E10E36"/>
    <w:rsid w:val="00E110E7"/>
    <w:rsid w:val="00E11B20"/>
    <w:rsid w:val="00E17FA2"/>
    <w:rsid w:val="00E22330"/>
    <w:rsid w:val="00E25A9A"/>
    <w:rsid w:val="00E27F78"/>
    <w:rsid w:val="00E30B5A"/>
    <w:rsid w:val="00E3123D"/>
    <w:rsid w:val="00E31461"/>
    <w:rsid w:val="00E31D43"/>
    <w:rsid w:val="00E32608"/>
    <w:rsid w:val="00E34188"/>
    <w:rsid w:val="00E34B6E"/>
    <w:rsid w:val="00E35559"/>
    <w:rsid w:val="00E3723A"/>
    <w:rsid w:val="00E37860"/>
    <w:rsid w:val="00E42C27"/>
    <w:rsid w:val="00E4407D"/>
    <w:rsid w:val="00E446F1"/>
    <w:rsid w:val="00E44C43"/>
    <w:rsid w:val="00E46886"/>
    <w:rsid w:val="00E47AEF"/>
    <w:rsid w:val="00E53B75"/>
    <w:rsid w:val="00E54E3B"/>
    <w:rsid w:val="00E5512E"/>
    <w:rsid w:val="00E57565"/>
    <w:rsid w:val="00E63838"/>
    <w:rsid w:val="00E64434"/>
    <w:rsid w:val="00E67C51"/>
    <w:rsid w:val="00E72EFC"/>
    <w:rsid w:val="00E73C2B"/>
    <w:rsid w:val="00E758EC"/>
    <w:rsid w:val="00E8234C"/>
    <w:rsid w:val="00E83AA9"/>
    <w:rsid w:val="00E83F02"/>
    <w:rsid w:val="00E85928"/>
    <w:rsid w:val="00E87822"/>
    <w:rsid w:val="00E90395"/>
    <w:rsid w:val="00E90E49"/>
    <w:rsid w:val="00E917F9"/>
    <w:rsid w:val="00E9291C"/>
    <w:rsid w:val="00E93FFE"/>
    <w:rsid w:val="00E94F8A"/>
    <w:rsid w:val="00EA22E2"/>
    <w:rsid w:val="00EA5550"/>
    <w:rsid w:val="00EA7A41"/>
    <w:rsid w:val="00EB077B"/>
    <w:rsid w:val="00EB4EA2"/>
    <w:rsid w:val="00EC24D5"/>
    <w:rsid w:val="00EC27C6"/>
    <w:rsid w:val="00EC4207"/>
    <w:rsid w:val="00EC5653"/>
    <w:rsid w:val="00EC65EF"/>
    <w:rsid w:val="00EC6D32"/>
    <w:rsid w:val="00EC71CE"/>
    <w:rsid w:val="00ED1006"/>
    <w:rsid w:val="00ED2710"/>
    <w:rsid w:val="00EE1C99"/>
    <w:rsid w:val="00EE6FD6"/>
    <w:rsid w:val="00EF18FE"/>
    <w:rsid w:val="00EF5787"/>
    <w:rsid w:val="00EF60D0"/>
    <w:rsid w:val="00F0528D"/>
    <w:rsid w:val="00F0670A"/>
    <w:rsid w:val="00F06C67"/>
    <w:rsid w:val="00F06DFD"/>
    <w:rsid w:val="00F071D1"/>
    <w:rsid w:val="00F07533"/>
    <w:rsid w:val="00F10629"/>
    <w:rsid w:val="00F15FA5"/>
    <w:rsid w:val="00F209B7"/>
    <w:rsid w:val="00F2376F"/>
    <w:rsid w:val="00F243D8"/>
    <w:rsid w:val="00F245DA"/>
    <w:rsid w:val="00F245DD"/>
    <w:rsid w:val="00F3017E"/>
    <w:rsid w:val="00F30828"/>
    <w:rsid w:val="00F313D6"/>
    <w:rsid w:val="00F32242"/>
    <w:rsid w:val="00F32AD9"/>
    <w:rsid w:val="00F40F0C"/>
    <w:rsid w:val="00F428F4"/>
    <w:rsid w:val="00F42DAA"/>
    <w:rsid w:val="00F4766C"/>
    <w:rsid w:val="00F5060E"/>
    <w:rsid w:val="00F50626"/>
    <w:rsid w:val="00F507D1"/>
    <w:rsid w:val="00F519CE"/>
    <w:rsid w:val="00F51ADA"/>
    <w:rsid w:val="00F51D8E"/>
    <w:rsid w:val="00F56CE5"/>
    <w:rsid w:val="00F60203"/>
    <w:rsid w:val="00F606BA"/>
    <w:rsid w:val="00F607C5"/>
    <w:rsid w:val="00F60B05"/>
    <w:rsid w:val="00F60DEA"/>
    <w:rsid w:val="00F6302A"/>
    <w:rsid w:val="00F63950"/>
    <w:rsid w:val="00F63DA0"/>
    <w:rsid w:val="00F64C2B"/>
    <w:rsid w:val="00F64CE2"/>
    <w:rsid w:val="00F651BE"/>
    <w:rsid w:val="00F67F53"/>
    <w:rsid w:val="00F703BE"/>
    <w:rsid w:val="00F71F69"/>
    <w:rsid w:val="00F72B72"/>
    <w:rsid w:val="00F74BB9"/>
    <w:rsid w:val="00F75582"/>
    <w:rsid w:val="00F76EFA"/>
    <w:rsid w:val="00F804BE"/>
    <w:rsid w:val="00F817CE"/>
    <w:rsid w:val="00F8456C"/>
    <w:rsid w:val="00F859D8"/>
    <w:rsid w:val="00F86087"/>
    <w:rsid w:val="00F868F5"/>
    <w:rsid w:val="00F9056A"/>
    <w:rsid w:val="00F90F8D"/>
    <w:rsid w:val="00F92782"/>
    <w:rsid w:val="00F93AA9"/>
    <w:rsid w:val="00F96985"/>
    <w:rsid w:val="00F97838"/>
    <w:rsid w:val="00FA2BB3"/>
    <w:rsid w:val="00FA6C5A"/>
    <w:rsid w:val="00FB4C80"/>
    <w:rsid w:val="00FB6A6A"/>
    <w:rsid w:val="00FC063B"/>
    <w:rsid w:val="00FC7429"/>
    <w:rsid w:val="00FD02CF"/>
    <w:rsid w:val="00FD07F6"/>
    <w:rsid w:val="00FD1EC8"/>
    <w:rsid w:val="00FD2272"/>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13</Pages>
  <Words>4167</Words>
  <Characters>22720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68</cp:revision>
  <cp:lastPrinted>2008-01-31T16:09:00Z</cp:lastPrinted>
  <dcterms:created xsi:type="dcterms:W3CDTF">2022-09-23T07:11:00Z</dcterms:created>
  <dcterms:modified xsi:type="dcterms:W3CDTF">2022-11-07T13:01:00Z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